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8" w:type="pct"/>
        <w:jc w:val="center"/>
        <w:tblLook w:val="01E0" w:firstRow="1" w:lastRow="1" w:firstColumn="1" w:lastColumn="1" w:noHBand="0" w:noVBand="0"/>
      </w:tblPr>
      <w:tblGrid>
        <w:gridCol w:w="4064"/>
        <w:gridCol w:w="5369"/>
      </w:tblGrid>
      <w:tr w:rsidR="00772EE8" w:rsidRPr="00301868" w14:paraId="28A27ADC" w14:textId="77777777" w:rsidTr="00D97616">
        <w:trPr>
          <w:trHeight w:val="1134"/>
          <w:jc w:val="center"/>
        </w:trPr>
        <w:tc>
          <w:tcPr>
            <w:tcW w:w="2154" w:type="pct"/>
          </w:tcPr>
          <w:p w14:paraId="462BAF86" w14:textId="3FFF3EA3" w:rsidR="00772EE8" w:rsidRPr="00301868" w:rsidRDefault="00772EE8" w:rsidP="00DC414D">
            <w:pPr>
              <w:spacing w:after="0" w:line="240" w:lineRule="auto"/>
              <w:ind w:firstLine="0"/>
              <w:jc w:val="center"/>
              <w:rPr>
                <w:rFonts w:ascii=".VnTimeH" w:hAnsi=".VnTimeH"/>
                <w:b/>
                <w:sz w:val="24"/>
                <w:lang w:val="af-ZA"/>
              </w:rPr>
            </w:pPr>
            <w:bookmarkStart w:id="0" w:name="_GoBack"/>
            <w:bookmarkEnd w:id="0"/>
            <w:r w:rsidRPr="00301868">
              <w:rPr>
                <w:b/>
                <w:sz w:val="24"/>
                <w:lang w:val="af-ZA"/>
              </w:rPr>
              <w:t xml:space="preserve">BỘ LAO </w:t>
            </w:r>
            <w:r w:rsidRPr="00301868">
              <w:rPr>
                <w:rFonts w:hint="eastAsia"/>
                <w:b/>
                <w:sz w:val="24"/>
                <w:lang w:val="af-ZA"/>
              </w:rPr>
              <w:t>Đ</w:t>
            </w:r>
            <w:r w:rsidRPr="00301868">
              <w:rPr>
                <w:b/>
                <w:sz w:val="24"/>
                <w:lang w:val="af-ZA"/>
              </w:rPr>
              <w:t>ỘNG</w:t>
            </w:r>
            <w:r w:rsidR="00D97616" w:rsidRPr="00301868">
              <w:rPr>
                <w:b/>
                <w:sz w:val="24"/>
                <w:lang w:val="af-ZA"/>
              </w:rPr>
              <w:t xml:space="preserve"> </w:t>
            </w:r>
            <w:r w:rsidRPr="00301868">
              <w:rPr>
                <w:b/>
                <w:sz w:val="24"/>
                <w:lang w:val="af-ZA"/>
              </w:rPr>
              <w:t>- TH</w:t>
            </w:r>
            <w:r w:rsidRPr="00301868">
              <w:rPr>
                <w:rFonts w:hint="eastAsia"/>
                <w:b/>
                <w:sz w:val="24"/>
                <w:lang w:val="af-ZA"/>
              </w:rPr>
              <w:t>ƯƠ</w:t>
            </w:r>
            <w:r w:rsidRPr="00301868">
              <w:rPr>
                <w:b/>
                <w:sz w:val="24"/>
                <w:lang w:val="af-ZA"/>
              </w:rPr>
              <w:t>NG BINH</w:t>
            </w:r>
          </w:p>
          <w:p w14:paraId="14F98EC9" w14:textId="77777777" w:rsidR="00772EE8" w:rsidRPr="00301868" w:rsidRDefault="00772EE8" w:rsidP="00DC414D">
            <w:pPr>
              <w:spacing w:after="0" w:line="240" w:lineRule="auto"/>
              <w:ind w:firstLine="0"/>
              <w:jc w:val="center"/>
              <w:rPr>
                <w:rFonts w:ascii=".VnTimeH" w:hAnsi=".VnTimeH"/>
                <w:b/>
                <w:sz w:val="24"/>
                <w:lang w:val="af-ZA"/>
              </w:rPr>
            </w:pPr>
            <w:r w:rsidRPr="00301868">
              <w:rPr>
                <w:b/>
                <w:sz w:val="24"/>
                <w:lang w:val="af-ZA"/>
              </w:rPr>
              <w:t>VÀ XÃ HỘI</w:t>
            </w:r>
          </w:p>
          <w:p w14:paraId="44E76619" w14:textId="77777777" w:rsidR="00772EE8" w:rsidRPr="00301868" w:rsidRDefault="00BC2888" w:rsidP="00DC414D">
            <w:pPr>
              <w:spacing w:after="0" w:line="240" w:lineRule="auto"/>
              <w:ind w:firstLine="0"/>
              <w:jc w:val="center"/>
              <w:rPr>
                <w:b/>
                <w:sz w:val="24"/>
                <w:lang w:val="af-ZA"/>
              </w:rPr>
            </w:pPr>
            <w:r w:rsidRPr="00301868">
              <w:rPr>
                <w:b/>
                <w:noProof/>
                <w:sz w:val="24"/>
                <w:lang w:val="en-US"/>
              </w:rPr>
              <mc:AlternateContent>
                <mc:Choice Requires="wps">
                  <w:drawing>
                    <wp:anchor distT="0" distB="0" distL="114300" distR="114300" simplePos="0" relativeHeight="251658240" behindDoc="0" locked="0" layoutInCell="1" allowOverlap="1" wp14:anchorId="6D6FCD86" wp14:editId="752C7275">
                      <wp:simplePos x="0" y="0"/>
                      <wp:positionH relativeFrom="column">
                        <wp:posOffset>810260</wp:posOffset>
                      </wp:positionH>
                      <wp:positionV relativeFrom="paragraph">
                        <wp:posOffset>91440</wp:posOffset>
                      </wp:positionV>
                      <wp:extent cx="771525" cy="0"/>
                      <wp:effectExtent l="0" t="0" r="28575" b="1905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9E6030" id="Line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7.2pt" to="124.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imDw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"/>
                  </w:pict>
                </mc:Fallback>
              </mc:AlternateContent>
            </w:r>
          </w:p>
          <w:p w14:paraId="7C44A5F2" w14:textId="77777777" w:rsidR="00772EE8" w:rsidRPr="00301868" w:rsidRDefault="00772EE8" w:rsidP="00DC414D">
            <w:pPr>
              <w:spacing w:after="0" w:line="240" w:lineRule="auto"/>
              <w:ind w:firstLine="0"/>
              <w:jc w:val="center"/>
              <w:rPr>
                <w:b/>
                <w:sz w:val="24"/>
                <w:lang w:val="af-ZA"/>
              </w:rPr>
            </w:pPr>
          </w:p>
        </w:tc>
        <w:tc>
          <w:tcPr>
            <w:tcW w:w="2846" w:type="pct"/>
          </w:tcPr>
          <w:p w14:paraId="709F1F16" w14:textId="77777777" w:rsidR="00772EE8" w:rsidRPr="00301868" w:rsidRDefault="00772EE8" w:rsidP="00DC414D">
            <w:pPr>
              <w:spacing w:after="0" w:line="240" w:lineRule="auto"/>
              <w:ind w:firstLine="0"/>
              <w:jc w:val="center"/>
              <w:rPr>
                <w:b/>
                <w:sz w:val="24"/>
                <w:lang w:val="af-ZA"/>
              </w:rPr>
            </w:pPr>
            <w:r w:rsidRPr="00301868">
              <w:rPr>
                <w:b/>
                <w:sz w:val="24"/>
                <w:lang w:val="af-ZA"/>
              </w:rPr>
              <w:t>CỘNG HOÀ XÃ HỘI CHỦ NGHĨA VIỆT NAM</w:t>
            </w:r>
          </w:p>
          <w:p w14:paraId="237877AB" w14:textId="77777777" w:rsidR="00772EE8" w:rsidRPr="00301868" w:rsidRDefault="00772EE8" w:rsidP="00DC414D">
            <w:pPr>
              <w:spacing w:after="0" w:line="240" w:lineRule="auto"/>
              <w:ind w:firstLine="0"/>
              <w:jc w:val="center"/>
              <w:rPr>
                <w:b/>
                <w:lang w:val="af-ZA"/>
              </w:rPr>
            </w:pPr>
            <w:r w:rsidRPr="00301868">
              <w:rPr>
                <w:b/>
                <w:lang w:val="af-ZA"/>
              </w:rPr>
              <w:t>Độc lập - Tự do - Hạnh phúc</w:t>
            </w:r>
          </w:p>
          <w:p w14:paraId="5F93AB84" w14:textId="77777777" w:rsidR="00772EE8" w:rsidRPr="00301868" w:rsidRDefault="00BC2888" w:rsidP="00DC414D">
            <w:pPr>
              <w:spacing w:after="0" w:line="240" w:lineRule="auto"/>
              <w:ind w:firstLine="0"/>
              <w:jc w:val="center"/>
              <w:rPr>
                <w:b/>
                <w:lang w:val="af-ZA"/>
              </w:rPr>
            </w:pPr>
            <w:r w:rsidRPr="00301868">
              <w:rPr>
                <w:b/>
                <w:noProof/>
                <w:lang w:val="en-US"/>
              </w:rPr>
              <mc:AlternateContent>
                <mc:Choice Requires="wps">
                  <w:drawing>
                    <wp:anchor distT="0" distB="0" distL="114300" distR="114300" simplePos="0" relativeHeight="251657216" behindDoc="0" locked="0" layoutInCell="1" allowOverlap="1" wp14:anchorId="452FD82E" wp14:editId="57854948">
                      <wp:simplePos x="0" y="0"/>
                      <wp:positionH relativeFrom="column">
                        <wp:posOffset>528955</wp:posOffset>
                      </wp:positionH>
                      <wp:positionV relativeFrom="paragraph">
                        <wp:posOffset>81280</wp:posOffset>
                      </wp:positionV>
                      <wp:extent cx="2133600" cy="0"/>
                      <wp:effectExtent l="0" t="0" r="19050" b="1905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B8DED7" id="Line 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6.4pt" to="209.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tC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"/>
                  </w:pict>
                </mc:Fallback>
              </mc:AlternateContent>
            </w:r>
          </w:p>
          <w:p w14:paraId="3F27E356" w14:textId="77777777" w:rsidR="00772EE8" w:rsidRPr="00301868" w:rsidRDefault="00772EE8" w:rsidP="00DC414D">
            <w:pPr>
              <w:spacing w:after="0" w:line="240" w:lineRule="auto"/>
              <w:ind w:firstLine="0"/>
              <w:jc w:val="center"/>
              <w:rPr>
                <w:b/>
                <w:lang w:val="af-ZA"/>
              </w:rPr>
            </w:pPr>
          </w:p>
          <w:p w14:paraId="784921CC" w14:textId="77777777" w:rsidR="00772EE8" w:rsidRPr="00301868" w:rsidRDefault="00772EE8" w:rsidP="00DC414D">
            <w:pPr>
              <w:spacing w:after="0" w:line="240" w:lineRule="auto"/>
              <w:ind w:firstLine="0"/>
              <w:jc w:val="center"/>
              <w:rPr>
                <w:b/>
                <w:noProof/>
                <w:lang w:val="af-ZA"/>
              </w:rPr>
            </w:pPr>
          </w:p>
        </w:tc>
      </w:tr>
    </w:tbl>
    <w:p w14:paraId="7C500530" w14:textId="37BA7393" w:rsidR="00B44F28" w:rsidRPr="00301868" w:rsidRDefault="00A95248" w:rsidP="00DC414D">
      <w:pPr>
        <w:spacing w:after="0" w:line="240" w:lineRule="auto"/>
        <w:ind w:firstLine="0"/>
        <w:jc w:val="center"/>
        <w:rPr>
          <w:b/>
        </w:rPr>
      </w:pPr>
      <w:r w:rsidRPr="00301868">
        <w:rPr>
          <w:b/>
          <w:noProof/>
          <w:lang w:val="en-US"/>
        </w:rPr>
        <mc:AlternateContent>
          <mc:Choice Requires="wps">
            <w:drawing>
              <wp:anchor distT="0" distB="0" distL="114300" distR="114300" simplePos="0" relativeHeight="251659264" behindDoc="0" locked="0" layoutInCell="1" allowOverlap="1" wp14:anchorId="06F0AB2B" wp14:editId="2F48C4B2">
                <wp:simplePos x="0" y="0"/>
                <wp:positionH relativeFrom="column">
                  <wp:posOffset>139065</wp:posOffset>
                </wp:positionH>
                <wp:positionV relativeFrom="paragraph">
                  <wp:posOffset>96520</wp:posOffset>
                </wp:positionV>
                <wp:extent cx="169545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95450" cy="333375"/>
                        </a:xfrm>
                        <a:prstGeom prst="rect">
                          <a:avLst/>
                        </a:prstGeom>
                        <a:solidFill>
                          <a:schemeClr val="lt1"/>
                        </a:solidFill>
                        <a:ln w="6350">
                          <a:solidFill>
                            <a:prstClr val="black"/>
                          </a:solidFill>
                        </a:ln>
                      </wps:spPr>
                      <wps:txbx>
                        <w:txbxContent>
                          <w:p w14:paraId="17BF6AC9" w14:textId="416909DE" w:rsidR="00A95248" w:rsidRPr="00A95248" w:rsidRDefault="00A95248" w:rsidP="00A95248">
                            <w:pPr>
                              <w:ind w:firstLine="0"/>
                              <w:jc w:val="center"/>
                              <w:rPr>
                                <w:b/>
                                <w:lang w:val="en-US"/>
                              </w:rPr>
                            </w:pPr>
                            <w:r w:rsidRPr="00A95248">
                              <w:rPr>
                                <w:b/>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w14:anchorId="06F0AB2B" id="_x0000_t202" coordsize="21600,21600" o:spt="202" path="m,l,21600r21600,l21600,xe">
                <v:stroke joinstyle="miter"/>
                <v:path gradientshapeok="t" o:connecttype="rect"/>
              </v:shapetype>
              <v:shape id="Text Box 1" o:spid="_x0000_s1026" type="#_x0000_t202" style="position:absolute;left:0;text-align:left;margin-left:10.95pt;margin-top:7.6pt;width:133.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" fillcolor="white [3201]" strokeweight=".5pt">
                <v:textbox>
                  <w:txbxContent>
                    <w:p w14:paraId="17BF6AC9" w14:textId="416909DE" w:rsidR="00A95248" w:rsidRPr="00A95248" w:rsidRDefault="00A95248" w:rsidP="00A95248">
                      <w:pPr>
                        <w:ind w:firstLine="0"/>
                        <w:jc w:val="center"/>
                        <w:rPr>
                          <w:b/>
                          <w:lang w:val="en-US"/>
                        </w:rPr>
                      </w:pPr>
                      <w:r w:rsidRPr="00A95248">
                        <w:rPr>
                          <w:b/>
                          <w:lang w:val="en-US"/>
                        </w:rPr>
                        <w:t>DỰ THẢO</w:t>
                      </w:r>
                    </w:p>
                  </w:txbxContent>
                </v:textbox>
              </v:shape>
            </w:pict>
          </mc:Fallback>
        </mc:AlternateContent>
      </w:r>
    </w:p>
    <w:p w14:paraId="24E3F647" w14:textId="77777777" w:rsidR="00676693" w:rsidRPr="00301868" w:rsidRDefault="00676693" w:rsidP="00DC414D">
      <w:pPr>
        <w:spacing w:after="0" w:line="240" w:lineRule="auto"/>
        <w:ind w:firstLine="0"/>
        <w:jc w:val="center"/>
        <w:rPr>
          <w:b/>
        </w:rPr>
      </w:pPr>
    </w:p>
    <w:p w14:paraId="586BD4BD" w14:textId="77777777" w:rsidR="00CE3722" w:rsidRPr="00301868" w:rsidRDefault="00714B44" w:rsidP="00DC414D">
      <w:pPr>
        <w:spacing w:after="0" w:line="240" w:lineRule="auto"/>
        <w:ind w:firstLine="0"/>
        <w:jc w:val="center"/>
        <w:rPr>
          <w:b/>
        </w:rPr>
      </w:pPr>
      <w:r w:rsidRPr="00301868">
        <w:rPr>
          <w:b/>
        </w:rPr>
        <w:t>BÁO CÁO</w:t>
      </w:r>
    </w:p>
    <w:p w14:paraId="3BCD336C" w14:textId="38C42D28" w:rsidR="00714B44" w:rsidRPr="00301868" w:rsidRDefault="0055085B" w:rsidP="00DC414D">
      <w:pPr>
        <w:spacing w:after="0" w:line="240" w:lineRule="auto"/>
        <w:ind w:firstLine="0"/>
        <w:jc w:val="center"/>
        <w:rPr>
          <w:b/>
          <w:lang w:val="vi-VN"/>
        </w:rPr>
      </w:pPr>
      <w:r w:rsidRPr="00301868">
        <w:rPr>
          <w:b/>
        </w:rPr>
        <w:t>TỔNG KẾT</w:t>
      </w:r>
      <w:r w:rsidR="002E7344" w:rsidRPr="00301868">
        <w:rPr>
          <w:b/>
        </w:rPr>
        <w:t xml:space="preserve"> TH</w:t>
      </w:r>
      <w:r w:rsidR="00ED430F" w:rsidRPr="00301868">
        <w:rPr>
          <w:b/>
        </w:rPr>
        <w:t>I HÀNH</w:t>
      </w:r>
      <w:r w:rsidR="002E7344" w:rsidRPr="00301868">
        <w:rPr>
          <w:b/>
        </w:rPr>
        <w:t xml:space="preserve"> LUẬT BẢO HIỂM XÃ HỘI</w:t>
      </w:r>
      <w:r w:rsidR="00CE3722" w:rsidRPr="00301868">
        <w:rPr>
          <w:b/>
          <w:lang w:val="vi-VN"/>
        </w:rPr>
        <w:t xml:space="preserve"> NĂM 2014</w:t>
      </w:r>
    </w:p>
    <w:p w14:paraId="590527DA" w14:textId="1C04CE61" w:rsidR="00E527B4" w:rsidRPr="00301868" w:rsidRDefault="00E527B4" w:rsidP="00DC414D">
      <w:pPr>
        <w:spacing w:after="0" w:line="240" w:lineRule="auto"/>
        <w:ind w:firstLine="0"/>
        <w:jc w:val="center"/>
        <w:rPr>
          <w:b/>
          <w:lang w:val="vi-VN"/>
        </w:rPr>
      </w:pPr>
      <w:r w:rsidRPr="00301868">
        <w:rPr>
          <w:b/>
          <w:lang w:val="vi-VN"/>
        </w:rPr>
        <w:t>(GIAI ĐOẠN 2016 - 2020)</w:t>
      </w:r>
    </w:p>
    <w:p w14:paraId="4A3A8B21" w14:textId="77777777" w:rsidR="00C94834" w:rsidRPr="00301868" w:rsidRDefault="00C94834" w:rsidP="00DC414D">
      <w:pPr>
        <w:spacing w:after="0" w:line="240" w:lineRule="auto"/>
        <w:ind w:firstLine="0"/>
        <w:jc w:val="center"/>
        <w:rPr>
          <w:b/>
        </w:rPr>
      </w:pPr>
      <w:r w:rsidRPr="00301868">
        <w:rPr>
          <w:b/>
          <w:noProof/>
          <w:lang w:val="en-US"/>
        </w:rPr>
        <mc:AlternateContent>
          <mc:Choice Requires="wps">
            <w:drawing>
              <wp:anchor distT="0" distB="0" distL="114300" distR="114300" simplePos="0" relativeHeight="251656192" behindDoc="0" locked="0" layoutInCell="1" allowOverlap="1" wp14:anchorId="5ED4BC2C" wp14:editId="2243DABF">
                <wp:simplePos x="0" y="0"/>
                <wp:positionH relativeFrom="margin">
                  <wp:posOffset>2194560</wp:posOffset>
                </wp:positionH>
                <wp:positionV relativeFrom="paragraph">
                  <wp:posOffset>100965</wp:posOffset>
                </wp:positionV>
                <wp:extent cx="1348740" cy="0"/>
                <wp:effectExtent l="0" t="0" r="22860" b="1905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06FC4C" id="Line 43"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8pt,7.95pt" to="27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LS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">
                <w10:wrap anchorx="margin"/>
              </v:line>
            </w:pict>
          </mc:Fallback>
        </mc:AlternateContent>
      </w:r>
    </w:p>
    <w:p w14:paraId="42F8431C" w14:textId="77777777" w:rsidR="00C94834" w:rsidRPr="00301868" w:rsidRDefault="00C94834" w:rsidP="00DC414D">
      <w:pPr>
        <w:spacing w:after="0" w:line="240" w:lineRule="auto"/>
        <w:ind w:firstLine="0"/>
        <w:jc w:val="center"/>
        <w:rPr>
          <w:b/>
        </w:rPr>
      </w:pPr>
    </w:p>
    <w:p w14:paraId="78C726FD" w14:textId="056913DF" w:rsidR="00D77DAB" w:rsidRPr="00301868" w:rsidRDefault="00D77DAB" w:rsidP="00D77DAB">
      <w:pPr>
        <w:rPr>
          <w:lang w:val="af-ZA"/>
        </w:rPr>
      </w:pPr>
      <w:r w:rsidRPr="00301868">
        <w:rPr>
          <w:lang w:val="af-ZA"/>
        </w:rPr>
        <w:t>Luật Bảo hiểm xã hội số 58/2014/QH13 (sau đây gọi tắt là Luật BHXH 2014) được Quốc hội nước Cộng hòa xã hội chủ nghĩa Việt Nam khóa XII, kỳ họp thứ 4 thông qua ngày 20 tháng 11 năm 2014, có hiệu lực thi hành kể từ ngày 01 tháng 01 năm 201</w:t>
      </w:r>
      <w:r w:rsidR="001A5469" w:rsidRPr="00301868">
        <w:rPr>
          <w:lang w:val="af-ZA"/>
        </w:rPr>
        <w:t>6 (</w:t>
      </w:r>
      <w:r w:rsidR="00211ACD" w:rsidRPr="00301868">
        <w:rPr>
          <w:lang w:val="af-ZA"/>
        </w:rPr>
        <w:t>riêng</w:t>
      </w:r>
      <w:r w:rsidRPr="00301868">
        <w:rPr>
          <w:lang w:val="af-ZA"/>
        </w:rPr>
        <w:t xml:space="preserve"> quy định tại điểm b khoản 1 và khoản 2 Điều 2 </w:t>
      </w:r>
      <w:r w:rsidR="001A5469" w:rsidRPr="00301868">
        <w:rPr>
          <w:lang w:val="af-ZA"/>
        </w:rPr>
        <w:t>có hiệu lực thi hành từ ngày 01 tháng 01 năm 2018)</w:t>
      </w:r>
      <w:r w:rsidRPr="00301868">
        <w:rPr>
          <w:lang w:val="af-ZA"/>
        </w:rPr>
        <w:t xml:space="preserve">. </w:t>
      </w:r>
    </w:p>
    <w:p w14:paraId="38816818" w14:textId="77777777" w:rsidR="00FE0D06" w:rsidRPr="00301868" w:rsidRDefault="00D77DAB" w:rsidP="00D77DAB">
      <w:pPr>
        <w:rPr>
          <w:lang w:val="af-ZA"/>
        </w:rPr>
      </w:pPr>
      <w:r w:rsidRPr="00301868">
        <w:rPr>
          <w:lang w:val="af-ZA"/>
        </w:rPr>
        <w:t>Luật BHXH 2014 thay thế Luật bảo hiểm xã hội số 71/2006/QH11 với những điều chỉnh bổ sung, sửa đổi nổi bật, bao gồm: (1) Mở rộng đối tượng tham gia bảo hiểm xã hội bắt buộc đến những người làm việc theo hợp đồng lao động có thời hạn từ đủ 01 tháng đến dưới 03 tháng và những người lao động là công dân nước ngoài vào làm việc tại Việt Nam có giấy phép lao động hoặc chứng chỉ hành nghề hoặc giấy phép hành nghề do cơ quan có thẩm quyền của Việt Nam cấp; (2) Nhà nước hỗ trợ đóng bảo hiểm xã hội tự nguyện; (3) Tăng thời gian nghỉ chế độ thai sản từ 4 tháng lên 6 tháng và quy định chế độ nghỉ thai sản đối với nam giới khi vợ sinh con; (4) Điều chỉnh công thức tính lương hưu; và (5) Quy định chức năng thanh tra chuyên ngành về đóng bảo hiểm xã hội, bảo hiểm thất nghiệp và bảo hiểm y tế của cơ quan bảo hiểm xã hội. Sau khi Luật BHXH 2014 được ban hành, Lao động - Thương binh và Xã hội, Bảo hiểm xã hội Việt Nam và các Bộ, ngành liên quan đã xây dựng, trình ban hành và ban hành các văn bản hướng dẫn thực hiện theo thẩm quyền.</w:t>
      </w:r>
    </w:p>
    <w:p w14:paraId="49336602" w14:textId="79155F12" w:rsidR="00C5268B" w:rsidRPr="00301868" w:rsidRDefault="005B3C0E" w:rsidP="00D77DAB">
      <w:pPr>
        <w:rPr>
          <w:lang w:val="vi-VN"/>
        </w:rPr>
      </w:pPr>
      <w:r w:rsidRPr="00301868">
        <w:rPr>
          <w:lang w:val="af-ZA"/>
        </w:rPr>
        <w:t xml:space="preserve">Căn cứ </w:t>
      </w:r>
      <w:r w:rsidRPr="00301868">
        <w:t xml:space="preserve">Nghị quyết số </w:t>
      </w:r>
      <w:r w:rsidR="00C94834" w:rsidRPr="00301868">
        <w:rPr>
          <w:lang w:val="vi-VN"/>
        </w:rPr>
        <w:t>125/NQ-CP ngày 08 tháng 10 năm 2019 của Chính phủ ban hành Chương trình hành động thực hiện Nghị quyết số 28-NQ/TW ngày 23 tháng 5 năm 2018 của Ban Chấp hành Trung ương Đảng Khóa XII về cải cách chính sách bảo hiểm xã hội (sau đây viết tắt là Nghị quyết số 28-NQ/TW)</w:t>
      </w:r>
      <w:r w:rsidRPr="00301868">
        <w:t>, Bộ Lao động</w:t>
      </w:r>
      <w:r w:rsidR="00C94834" w:rsidRPr="00301868">
        <w:rPr>
          <w:lang w:val="vi-VN"/>
        </w:rPr>
        <w:t xml:space="preserve"> </w:t>
      </w:r>
      <w:r w:rsidRPr="00301868">
        <w:t>-</w:t>
      </w:r>
      <w:r w:rsidR="00C94834" w:rsidRPr="00301868">
        <w:rPr>
          <w:lang w:val="vi-VN"/>
        </w:rPr>
        <w:t xml:space="preserve"> </w:t>
      </w:r>
      <w:r w:rsidRPr="00301868">
        <w:t xml:space="preserve">Thương binh và Xã hội được giao nhiệm vụ chủ trì </w:t>
      </w:r>
      <w:r w:rsidR="00C94834" w:rsidRPr="00301868">
        <w:rPr>
          <w:lang w:val="vi-VN"/>
        </w:rPr>
        <w:t>nghiên cứu, báo cáo Chính phủ</w:t>
      </w:r>
      <w:r w:rsidR="00C94834" w:rsidRPr="00301868">
        <w:t xml:space="preserve"> trình Quốc hội xem xét sửa đổi Luật </w:t>
      </w:r>
      <w:r w:rsidR="00FE0D06" w:rsidRPr="00301868">
        <w:t xml:space="preserve">BHXH </w:t>
      </w:r>
      <w:r w:rsidR="000D0DE9" w:rsidRPr="00301868">
        <w:rPr>
          <w:lang w:val="vi-VN"/>
        </w:rPr>
        <w:t>2014</w:t>
      </w:r>
      <w:r w:rsidR="00C94834" w:rsidRPr="00301868">
        <w:rPr>
          <w:lang w:val="vi-VN"/>
        </w:rPr>
        <w:t xml:space="preserve"> nhẳm thể chế hóa các nội dung</w:t>
      </w:r>
      <w:r w:rsidR="00191692" w:rsidRPr="00301868">
        <w:rPr>
          <w:lang w:val="vi-VN"/>
        </w:rPr>
        <w:t xml:space="preserve"> cải cách trong</w:t>
      </w:r>
      <w:r w:rsidR="00C94834" w:rsidRPr="00301868">
        <w:rPr>
          <w:lang w:val="vi-VN"/>
        </w:rPr>
        <w:t xml:space="preserve"> Nghị quyết số 28-NQ/TW</w:t>
      </w:r>
      <w:r w:rsidR="008B358D" w:rsidRPr="00301868">
        <w:rPr>
          <w:lang w:val="vi-VN"/>
        </w:rPr>
        <w:t xml:space="preserve"> và khắc phục những quy định không còn phù hợp với tình hình thực tiễn.</w:t>
      </w:r>
    </w:p>
    <w:p w14:paraId="53DD3696" w14:textId="03C7EF55" w:rsidR="00C5268B" w:rsidRPr="00301868" w:rsidRDefault="00B470A7" w:rsidP="00DF38D4">
      <w:pPr>
        <w:rPr>
          <w:lang w:val="vi-VN"/>
        </w:rPr>
      </w:pPr>
      <w:r w:rsidRPr="00301868">
        <w:rPr>
          <w:rFonts w:eastAsia="Calibri"/>
          <w:lang w:val="vi-VN"/>
        </w:rPr>
        <w:t>Báo cáo tổng kết việc thi hành Luật BHXH 2014 giai đoạn 2016 - 20</w:t>
      </w:r>
      <w:r w:rsidR="00E7433F" w:rsidRPr="00301868">
        <w:rPr>
          <w:rFonts w:eastAsia="Calibri"/>
          <w:lang w:val="vi-VN"/>
        </w:rPr>
        <w:t>20</w:t>
      </w:r>
      <w:r w:rsidRPr="00301868">
        <w:rPr>
          <w:rFonts w:eastAsia="Calibri"/>
          <w:lang w:val="vi-VN"/>
        </w:rPr>
        <w:t xml:space="preserve"> được</w:t>
      </w:r>
      <w:r w:rsidR="001875BF" w:rsidRPr="00301868">
        <w:rPr>
          <w:rFonts w:eastAsia="Calibri"/>
          <w:lang w:val="vi-VN"/>
        </w:rPr>
        <w:t xml:space="preserve"> xây dựng trên cơ sở kế thừa các nội dung của Đề án cải cách chính sách </w:t>
      </w:r>
      <w:r w:rsidR="001875BF" w:rsidRPr="00301868">
        <w:rPr>
          <w:rFonts w:eastAsia="Calibri"/>
          <w:lang w:val="vi-VN"/>
        </w:rPr>
        <w:lastRenderedPageBreak/>
        <w:t xml:space="preserve">bảo hiểm xã hội đã được Ban Chấp hành Trung ương Đảng Khóa XII thông qua tại Hội nghị lần thứ bảy (tháng 5/2018) và </w:t>
      </w:r>
      <w:r w:rsidRPr="00301868">
        <w:rPr>
          <w:rFonts w:eastAsia="Calibri"/>
          <w:lang w:val="vi-VN"/>
        </w:rPr>
        <w:t>tổng hợp từ báo cáo của  … Bộ, ngành, … Tập đoàn kinh tế, Tổng công ty, … Ủy ban nhân dân tỉnh, thành phố trực thuộc trung ương, Mặt trận Tổ quốc Việt Nam và các tổ chức thành viên, Phòng Thương mại và Công nghiệp Việt Nam… Báo cáo này cũng đề xuất những những nội dung cần được điều chỉnh, những vấn đề cần bổ sung trong thực hiện Đề án Luật BHXH sửa đổi</w:t>
      </w:r>
      <w:r w:rsidR="00113A9D" w:rsidRPr="00301868">
        <w:rPr>
          <w:lang w:val="vi-VN"/>
        </w:rPr>
        <w:t xml:space="preserve">. </w:t>
      </w:r>
      <w:r w:rsidR="00243C92" w:rsidRPr="00301868">
        <w:rPr>
          <w:lang w:val="vi-VN"/>
        </w:rPr>
        <w:t xml:space="preserve">Báo cáo tổng kết </w:t>
      </w:r>
      <w:r w:rsidR="00113A9D" w:rsidRPr="00301868">
        <w:rPr>
          <w:lang w:val="vi-VN"/>
        </w:rPr>
        <w:t xml:space="preserve">thi hành Luật </w:t>
      </w:r>
      <w:r w:rsidR="00494805" w:rsidRPr="00301868">
        <w:rPr>
          <w:lang w:val="vi-VN"/>
        </w:rPr>
        <w:t>BHXH</w:t>
      </w:r>
      <w:r w:rsidR="00435F36" w:rsidRPr="00301868">
        <w:rPr>
          <w:lang w:val="vi-VN"/>
        </w:rPr>
        <w:t xml:space="preserve"> 2014</w:t>
      </w:r>
      <w:r w:rsidR="00113A9D" w:rsidRPr="00301868">
        <w:rPr>
          <w:lang w:val="vi-VN"/>
        </w:rPr>
        <w:t xml:space="preserve"> </w:t>
      </w:r>
      <w:r w:rsidR="008C1F7A" w:rsidRPr="00301868">
        <w:rPr>
          <w:lang w:val="vi-VN"/>
        </w:rPr>
        <w:t xml:space="preserve">gồm </w:t>
      </w:r>
      <w:r w:rsidR="00D77DAB" w:rsidRPr="00301868">
        <w:rPr>
          <w:lang w:val="vi-VN"/>
        </w:rPr>
        <w:t>04 phần</w:t>
      </w:r>
      <w:r w:rsidR="008C1F7A" w:rsidRPr="00301868">
        <w:rPr>
          <w:lang w:val="vi-VN"/>
        </w:rPr>
        <w:t xml:space="preserve"> chính</w:t>
      </w:r>
      <w:r w:rsidR="00D77DAB" w:rsidRPr="00301868">
        <w:rPr>
          <w:lang w:val="vi-VN"/>
        </w:rPr>
        <w:t xml:space="preserve"> cụ thể như sau</w:t>
      </w:r>
      <w:r w:rsidR="00243C92" w:rsidRPr="00301868">
        <w:rPr>
          <w:lang w:val="vi-VN"/>
        </w:rPr>
        <w:t>:</w:t>
      </w:r>
    </w:p>
    <w:p w14:paraId="5BFEBF95" w14:textId="2B9B0BEC" w:rsidR="008C1F7A" w:rsidRPr="00301868" w:rsidRDefault="008C1F7A" w:rsidP="00DF38D4">
      <w:pPr>
        <w:rPr>
          <w:lang w:val="vi-VN"/>
        </w:rPr>
      </w:pPr>
      <w:r w:rsidRPr="00301868">
        <w:rPr>
          <w:lang w:val="vi-VN"/>
        </w:rPr>
        <w:t>Phần thứ nhất:</w:t>
      </w:r>
      <w:r w:rsidR="00D77DAB" w:rsidRPr="00301868">
        <w:rPr>
          <w:lang w:val="vi-VN"/>
        </w:rPr>
        <w:t xml:space="preserve"> Tình hình kinh tế xã hội của đất nước giai đoạn 2016 - 20</w:t>
      </w:r>
      <w:r w:rsidR="00DB73AA" w:rsidRPr="00301868">
        <w:rPr>
          <w:lang w:val="vi-VN"/>
        </w:rPr>
        <w:t>20</w:t>
      </w:r>
      <w:r w:rsidR="00D77DAB" w:rsidRPr="00301868">
        <w:rPr>
          <w:lang w:val="vi-VN"/>
        </w:rPr>
        <w:t>.</w:t>
      </w:r>
    </w:p>
    <w:p w14:paraId="63D7E149" w14:textId="169D25A6" w:rsidR="008C1F7A" w:rsidRPr="00301868" w:rsidRDefault="008C1F7A" w:rsidP="00DF38D4">
      <w:pPr>
        <w:rPr>
          <w:lang w:val="vi-VN"/>
        </w:rPr>
      </w:pPr>
      <w:r w:rsidRPr="00301868">
        <w:rPr>
          <w:lang w:val="vi-VN"/>
        </w:rPr>
        <w:t>Phần thứ hai:</w:t>
      </w:r>
      <w:r w:rsidR="007873D0" w:rsidRPr="00301868">
        <w:t xml:space="preserve"> </w:t>
      </w:r>
      <w:r w:rsidR="007873D0" w:rsidRPr="00301868">
        <w:rPr>
          <w:lang w:val="vi-VN"/>
        </w:rPr>
        <w:t>Công tác lãnh đạo, chỉ đạo, tổ chức triển khai thi hành Luật BHXH 2014</w:t>
      </w:r>
      <w:r w:rsidR="00277980" w:rsidRPr="00301868">
        <w:rPr>
          <w:lang w:val="vi-VN"/>
        </w:rPr>
        <w:t>.</w:t>
      </w:r>
    </w:p>
    <w:p w14:paraId="21A43B2C" w14:textId="1C341FED" w:rsidR="00D77DAB" w:rsidRPr="00301868" w:rsidRDefault="008C1F7A" w:rsidP="00D77DAB">
      <w:pPr>
        <w:rPr>
          <w:lang w:val="vi-VN"/>
        </w:rPr>
      </w:pPr>
      <w:r w:rsidRPr="00301868">
        <w:rPr>
          <w:lang w:val="vi-VN"/>
        </w:rPr>
        <w:t xml:space="preserve">Phần thứ ba: </w:t>
      </w:r>
      <w:r w:rsidR="007873D0" w:rsidRPr="00301868">
        <w:rPr>
          <w:lang w:val="vi-VN"/>
        </w:rPr>
        <w:t>Tình hình thực hiện Luật BHXH 2014</w:t>
      </w:r>
      <w:r w:rsidR="00277980" w:rsidRPr="00301868">
        <w:rPr>
          <w:lang w:val="vi-VN"/>
        </w:rPr>
        <w:t>.</w:t>
      </w:r>
    </w:p>
    <w:p w14:paraId="4AA22183" w14:textId="53D71228" w:rsidR="00D77DAB" w:rsidRPr="00301868" w:rsidRDefault="00D77DAB" w:rsidP="00D77DAB">
      <w:pPr>
        <w:rPr>
          <w:lang w:val="vi-VN"/>
        </w:rPr>
      </w:pPr>
      <w:r w:rsidRPr="00301868">
        <w:rPr>
          <w:lang w:val="vi-VN"/>
        </w:rPr>
        <w:t xml:space="preserve">Phần thứ tư: </w:t>
      </w:r>
      <w:r w:rsidR="00E40BC8" w:rsidRPr="00301868">
        <w:rPr>
          <w:lang w:val="vi-VN"/>
        </w:rPr>
        <w:t>Kiến nghị và đề xuất</w:t>
      </w:r>
      <w:r w:rsidR="00277980" w:rsidRPr="00301868">
        <w:rPr>
          <w:lang w:val="vi-VN"/>
        </w:rPr>
        <w:t>.</w:t>
      </w:r>
    </w:p>
    <w:p w14:paraId="55174930" w14:textId="74740301" w:rsidR="008C1F7A" w:rsidRPr="00301868" w:rsidRDefault="008C1F7A" w:rsidP="00D77DAB">
      <w:pPr>
        <w:pStyle w:val="Heading1"/>
        <w:rPr>
          <w:rFonts w:eastAsia="Calibri"/>
          <w:lang w:val="vi-VN"/>
        </w:rPr>
      </w:pPr>
      <w:bookmarkStart w:id="1" w:name="_Toc63186670"/>
      <w:r w:rsidRPr="00301868">
        <w:rPr>
          <w:rFonts w:eastAsia="Calibri"/>
          <w:lang w:val="vi-VN"/>
        </w:rPr>
        <w:t>Phần thứ nhất</w:t>
      </w:r>
      <w:bookmarkEnd w:id="1"/>
    </w:p>
    <w:p w14:paraId="406FDE06" w14:textId="77777777" w:rsidR="00B470A7" w:rsidRPr="00301868" w:rsidRDefault="008C1F7A" w:rsidP="008C1F7A">
      <w:pPr>
        <w:spacing w:after="0" w:line="240" w:lineRule="auto"/>
        <w:ind w:firstLine="0"/>
        <w:jc w:val="center"/>
        <w:rPr>
          <w:rFonts w:eastAsia="Calibri"/>
          <w:b/>
          <w:lang w:val="vi-VN"/>
        </w:rPr>
      </w:pPr>
      <w:r w:rsidRPr="00301868">
        <w:rPr>
          <w:rFonts w:eastAsia="Calibri"/>
          <w:b/>
          <w:lang w:val="vi-VN"/>
        </w:rPr>
        <w:t>TÌNH HÌNH KINH TẾ - XÃ HỘI CỦA ĐẤT NƯỚC</w:t>
      </w:r>
    </w:p>
    <w:p w14:paraId="795F86FB" w14:textId="251200F5" w:rsidR="008C1F7A" w:rsidRPr="00301868" w:rsidRDefault="008C1F7A" w:rsidP="008C1F7A">
      <w:pPr>
        <w:spacing w:after="0" w:line="240" w:lineRule="auto"/>
        <w:ind w:firstLine="0"/>
        <w:jc w:val="center"/>
        <w:rPr>
          <w:rFonts w:eastAsia="Calibri"/>
          <w:b/>
          <w:lang w:val="vi-VN"/>
        </w:rPr>
      </w:pPr>
      <w:r w:rsidRPr="00301868">
        <w:rPr>
          <w:rFonts w:eastAsia="Calibri"/>
          <w:b/>
          <w:lang w:val="vi-VN"/>
        </w:rPr>
        <w:t>GIAI ĐOẠN 2016</w:t>
      </w:r>
      <w:r w:rsidR="00CB18DF" w:rsidRPr="00301868">
        <w:rPr>
          <w:rFonts w:eastAsia="Calibri"/>
          <w:b/>
          <w:lang w:val="vi-VN"/>
        </w:rPr>
        <w:t xml:space="preserve"> - </w:t>
      </w:r>
      <w:r w:rsidRPr="00301868">
        <w:rPr>
          <w:rFonts w:eastAsia="Calibri"/>
          <w:b/>
          <w:lang w:val="vi-VN"/>
        </w:rPr>
        <w:t>20</w:t>
      </w:r>
      <w:r w:rsidR="001A7696" w:rsidRPr="00301868">
        <w:rPr>
          <w:rFonts w:eastAsia="Calibri"/>
          <w:b/>
          <w:lang w:val="vi-VN"/>
        </w:rPr>
        <w:t>20</w:t>
      </w:r>
    </w:p>
    <w:p w14:paraId="60CA5580" w14:textId="77777777" w:rsidR="008C1F7A" w:rsidRPr="00301868" w:rsidRDefault="008C1F7A" w:rsidP="008C1F7A">
      <w:pPr>
        <w:spacing w:after="0" w:line="240" w:lineRule="auto"/>
        <w:ind w:firstLine="0"/>
        <w:jc w:val="center"/>
        <w:rPr>
          <w:rFonts w:eastAsia="Calibri"/>
          <w:lang w:val="vi-VN"/>
        </w:rPr>
      </w:pPr>
    </w:p>
    <w:p w14:paraId="4D3EF554" w14:textId="77777777" w:rsidR="008C1F7A" w:rsidRPr="00301868" w:rsidRDefault="008C1F7A" w:rsidP="00CB18DF">
      <w:pPr>
        <w:pStyle w:val="Heading2"/>
        <w:rPr>
          <w:rFonts w:eastAsia="Calibri"/>
          <w:lang w:val="vi-VN"/>
        </w:rPr>
      </w:pPr>
      <w:bookmarkStart w:id="2" w:name="_Toc63186671"/>
      <w:r w:rsidRPr="00301868">
        <w:rPr>
          <w:rFonts w:eastAsia="Calibri"/>
          <w:lang w:val="vi-VN"/>
        </w:rPr>
        <w:t>I. TÌNH HÌNH TĂNG TRƯỞNG KINH TẾ VÀ VIỆC LÀM</w:t>
      </w:r>
      <w:bookmarkEnd w:id="2"/>
      <w:r w:rsidRPr="00301868">
        <w:rPr>
          <w:rFonts w:eastAsia="Calibri"/>
          <w:lang w:val="vi-VN"/>
        </w:rPr>
        <w:t xml:space="preserve"> </w:t>
      </w:r>
    </w:p>
    <w:p w14:paraId="256A2BB1" w14:textId="77777777" w:rsidR="008C1F7A" w:rsidRPr="00301868" w:rsidRDefault="008C1F7A" w:rsidP="00CB18DF">
      <w:pPr>
        <w:rPr>
          <w:rFonts w:eastAsia="Calibri"/>
          <w:lang w:val="vi-VN"/>
        </w:rPr>
      </w:pPr>
      <w:r w:rsidRPr="00301868">
        <w:rPr>
          <w:rFonts w:eastAsia="Calibri"/>
          <w:lang w:val="vi-VN"/>
        </w:rPr>
        <w:t>Luật BHXH 2014 được triển khai thực hiện trong bối cảnh Việt Nam đạt được tỷ lệ tăng trưởng vững chắc và tương đối ổn định với tiến bộ xã hội đáng kể trong suốt hai thập kỷ rưỡi vừa qua. Tỷ lệ người nghèo theo chuẩn nghèo quốc tế ở mức 1,90 đô-la Mỹ giảm từ 50% năm 1992 xuống chỉ còn 3% vào năm 2014</w:t>
      </w:r>
      <w:r w:rsidRPr="00301868">
        <w:rPr>
          <w:rFonts w:eastAsia="Calibri"/>
          <w:vertAlign w:val="superscript"/>
          <w:lang w:val="en-US"/>
        </w:rPr>
        <w:footnoteReference w:id="1"/>
      </w:r>
      <w:r w:rsidRPr="00301868">
        <w:rPr>
          <w:rFonts w:eastAsia="Calibri"/>
          <w:lang w:val="vi-VN"/>
        </w:rPr>
        <w:t xml:space="preserve">. Đây là điều kiện thuận lợi để Nhà nước có thể hỗ trợ mở rộng đối tượng tham gia BHXH. Tuy nhiên, chúng ta cũng đang đối mặt với thách thức lớn về quá trình già hóa dân số đang diễn ra khá nhanh.     </w:t>
      </w:r>
    </w:p>
    <w:p w14:paraId="23796AC4" w14:textId="50E895A8" w:rsidR="008C1F7A" w:rsidRPr="00301868" w:rsidRDefault="00CB18DF" w:rsidP="00CB18DF">
      <w:pPr>
        <w:pStyle w:val="Heading3"/>
        <w:rPr>
          <w:rFonts w:eastAsia="Calibri"/>
          <w:lang w:val="vi-VN"/>
        </w:rPr>
      </w:pPr>
      <w:bookmarkStart w:id="3" w:name="_Toc63186672"/>
      <w:r w:rsidRPr="00301868">
        <w:rPr>
          <w:rFonts w:eastAsia="Calibri"/>
          <w:lang w:val="vi-VN"/>
        </w:rPr>
        <w:t xml:space="preserve">1.1. </w:t>
      </w:r>
      <w:r w:rsidR="008C1F7A" w:rsidRPr="00301868">
        <w:rPr>
          <w:rFonts w:eastAsia="Calibri"/>
          <w:lang w:val="vi-VN"/>
        </w:rPr>
        <w:t>Về tăng tưởng kinh tế</w:t>
      </w:r>
      <w:bookmarkEnd w:id="3"/>
      <w:r w:rsidR="008C1F7A" w:rsidRPr="00301868">
        <w:rPr>
          <w:rFonts w:eastAsia="Calibri"/>
          <w:lang w:val="vi-VN"/>
        </w:rPr>
        <w:t xml:space="preserve"> </w:t>
      </w:r>
    </w:p>
    <w:p w14:paraId="4FBC7A53" w14:textId="0DAA7F25" w:rsidR="008C1F7A" w:rsidRPr="00301868" w:rsidRDefault="008C1F7A" w:rsidP="00CB18DF">
      <w:pPr>
        <w:rPr>
          <w:rFonts w:eastAsia="Calibri"/>
          <w:lang w:val="vi-VN"/>
        </w:rPr>
      </w:pPr>
      <w:r w:rsidRPr="00301868">
        <w:rPr>
          <w:rFonts w:eastAsia="Calibri"/>
          <w:lang w:val="vi-VN"/>
        </w:rPr>
        <w:t>Trong giai đoạn 2016</w:t>
      </w:r>
      <w:r w:rsidR="00C00983" w:rsidRPr="00301868">
        <w:rPr>
          <w:rFonts w:eastAsia="Calibri"/>
          <w:lang w:val="vi-VN"/>
        </w:rPr>
        <w:t xml:space="preserve"> </w:t>
      </w:r>
      <w:r w:rsidRPr="00301868">
        <w:rPr>
          <w:rFonts w:eastAsia="Calibri"/>
          <w:lang w:val="vi-VN"/>
        </w:rPr>
        <w:t>-</w:t>
      </w:r>
      <w:r w:rsidR="00C00983" w:rsidRPr="00301868">
        <w:rPr>
          <w:rFonts w:eastAsia="Calibri"/>
          <w:lang w:val="vi-VN"/>
        </w:rPr>
        <w:t xml:space="preserve"> </w:t>
      </w:r>
      <w:r w:rsidRPr="00301868">
        <w:rPr>
          <w:rFonts w:eastAsia="Calibri"/>
          <w:lang w:val="vi-VN"/>
        </w:rPr>
        <w:t xml:space="preserve">2019, nền kinh tế của chúng ta có tốc độ tăng trưởng từ 6,21% đến 7,31% với số lượng doanh nghiệp thành lập mới và doanh nghiệp trở lại hoạt động tăng đáng kể. Đây là những tín hiệu khả quan cho công tác phát triển đối tượng tham gia BHXH bắt buộc. Tuy nhiên số liệu thống kê cũng cho thấy số doanh nghiệp tạm ngừng hoạt động, đặc biệt ngừng hoạt động không đăng ký hoặc chờ giải thể là khá cao (Biểu 1). Điều này đòi hỏi công tác phát triển đối tượng tham gia BHXH cả bắt buộc và tự nguyện của toàn ngành BHXH và các địa phương cần nỗ lực rất lớn.  </w:t>
      </w:r>
    </w:p>
    <w:p w14:paraId="0CADA822" w14:textId="77777777" w:rsidR="008C1F7A" w:rsidRPr="00301868" w:rsidRDefault="008C1F7A" w:rsidP="008C1F7A">
      <w:pPr>
        <w:spacing w:after="0" w:line="240" w:lineRule="auto"/>
        <w:contextualSpacing/>
        <w:rPr>
          <w:rFonts w:eastAsia="Calibri"/>
          <w:lang w:val="vi-VN"/>
        </w:rPr>
      </w:pPr>
    </w:p>
    <w:p w14:paraId="7D17DBFE" w14:textId="675971CD" w:rsidR="008C1F7A" w:rsidRPr="00301868" w:rsidRDefault="008C1F7A" w:rsidP="008C1F7A">
      <w:pPr>
        <w:spacing w:after="0" w:line="240" w:lineRule="auto"/>
        <w:ind w:firstLine="0"/>
        <w:jc w:val="center"/>
        <w:rPr>
          <w:rFonts w:eastAsia="Calibri"/>
          <w:b/>
          <w:lang w:val="vi-VN"/>
        </w:rPr>
      </w:pPr>
      <w:r w:rsidRPr="00301868">
        <w:rPr>
          <w:rFonts w:eastAsia="Calibri"/>
          <w:b/>
          <w:lang w:val="vi-VN"/>
        </w:rPr>
        <w:lastRenderedPageBreak/>
        <w:t xml:space="preserve">Biểu 1. Tăng trưởng kinh tế và phát triển doanh nghiệp                                                  giai đoạn 2016 </w:t>
      </w:r>
      <w:r w:rsidR="00CB18DF" w:rsidRPr="00301868">
        <w:rPr>
          <w:rFonts w:eastAsia="Calibri"/>
          <w:b/>
          <w:lang w:val="vi-VN"/>
        </w:rPr>
        <w:t>-</w:t>
      </w:r>
      <w:r w:rsidRPr="00301868">
        <w:rPr>
          <w:rFonts w:eastAsia="Calibri"/>
          <w:b/>
          <w:lang w:val="vi-VN"/>
        </w:rPr>
        <w:t>2019</w:t>
      </w:r>
    </w:p>
    <w:p w14:paraId="175F8F98" w14:textId="77777777" w:rsidR="008C1F7A" w:rsidRPr="00301868" w:rsidRDefault="008C1F7A" w:rsidP="008C1F7A">
      <w:pPr>
        <w:spacing w:before="120" w:after="0" w:line="240" w:lineRule="auto"/>
        <w:ind w:firstLine="0"/>
        <w:jc w:val="right"/>
        <w:rPr>
          <w:rFonts w:eastAsia="Calibri"/>
          <w:i/>
          <w:sz w:val="24"/>
          <w:szCs w:val="24"/>
          <w:lang w:val="vi-VN"/>
        </w:rPr>
      </w:pPr>
      <w:r w:rsidRPr="00301868">
        <w:rPr>
          <w:rFonts w:eastAsia="Calibri"/>
          <w:i/>
          <w:sz w:val="24"/>
          <w:szCs w:val="24"/>
          <w:lang w:val="vi-VN"/>
        </w:rPr>
        <w:t>Đơn vị tính: Doanh nghiệp, %</w:t>
      </w:r>
    </w:p>
    <w:tbl>
      <w:tblPr>
        <w:tblStyle w:val="TableGrid1"/>
        <w:tblW w:w="5000" w:type="pct"/>
        <w:tblLook w:val="04A0" w:firstRow="1" w:lastRow="0" w:firstColumn="1" w:lastColumn="0" w:noHBand="0" w:noVBand="1"/>
      </w:tblPr>
      <w:tblGrid>
        <w:gridCol w:w="4697"/>
        <w:gridCol w:w="1147"/>
        <w:gridCol w:w="1148"/>
        <w:gridCol w:w="1148"/>
        <w:gridCol w:w="1148"/>
      </w:tblGrid>
      <w:tr w:rsidR="008C1F7A" w:rsidRPr="00301868" w14:paraId="1355DD53" w14:textId="77777777" w:rsidTr="00CB3A6B">
        <w:tc>
          <w:tcPr>
            <w:tcW w:w="2529" w:type="pct"/>
          </w:tcPr>
          <w:p w14:paraId="4814787C" w14:textId="77777777" w:rsidR="008C1F7A" w:rsidRPr="00301868" w:rsidRDefault="008C1F7A" w:rsidP="00980A06">
            <w:pPr>
              <w:spacing w:before="60" w:after="60" w:line="240" w:lineRule="auto"/>
              <w:ind w:firstLine="0"/>
              <w:rPr>
                <w:rFonts w:ascii="Times New Roman" w:hAnsi="Times New Roman"/>
                <w:sz w:val="26"/>
                <w:szCs w:val="26"/>
                <w:lang w:val="vi-VN"/>
              </w:rPr>
            </w:pPr>
          </w:p>
        </w:tc>
        <w:tc>
          <w:tcPr>
            <w:tcW w:w="618" w:type="pct"/>
          </w:tcPr>
          <w:p w14:paraId="545F04B6" w14:textId="77777777" w:rsidR="008C1F7A" w:rsidRPr="00301868" w:rsidRDefault="008C1F7A" w:rsidP="00980A06">
            <w:pPr>
              <w:spacing w:before="60" w:after="60" w:line="240" w:lineRule="auto"/>
              <w:ind w:firstLine="0"/>
              <w:jc w:val="center"/>
              <w:rPr>
                <w:rFonts w:ascii="Times New Roman" w:hAnsi="Times New Roman"/>
                <w:b/>
                <w:sz w:val="26"/>
                <w:szCs w:val="26"/>
                <w:lang w:val="en-US"/>
              </w:rPr>
            </w:pPr>
            <w:r w:rsidRPr="00301868">
              <w:rPr>
                <w:rFonts w:ascii="Times New Roman" w:hAnsi="Times New Roman"/>
                <w:b/>
                <w:sz w:val="26"/>
                <w:szCs w:val="26"/>
                <w:lang w:val="en-US"/>
              </w:rPr>
              <w:t>2016</w:t>
            </w:r>
          </w:p>
        </w:tc>
        <w:tc>
          <w:tcPr>
            <w:tcW w:w="618" w:type="pct"/>
          </w:tcPr>
          <w:p w14:paraId="5C44A7E3" w14:textId="77777777" w:rsidR="008C1F7A" w:rsidRPr="00301868" w:rsidRDefault="008C1F7A" w:rsidP="00980A06">
            <w:pPr>
              <w:spacing w:before="60" w:after="60" w:line="240" w:lineRule="auto"/>
              <w:ind w:firstLine="0"/>
              <w:jc w:val="center"/>
              <w:rPr>
                <w:rFonts w:ascii="Times New Roman" w:hAnsi="Times New Roman"/>
                <w:b/>
                <w:sz w:val="26"/>
                <w:szCs w:val="26"/>
                <w:lang w:val="en-US"/>
              </w:rPr>
            </w:pPr>
            <w:r w:rsidRPr="00301868">
              <w:rPr>
                <w:rFonts w:ascii="Times New Roman" w:hAnsi="Times New Roman"/>
                <w:b/>
                <w:sz w:val="26"/>
                <w:szCs w:val="26"/>
                <w:lang w:val="en-US"/>
              </w:rPr>
              <w:t>2017</w:t>
            </w:r>
          </w:p>
        </w:tc>
        <w:tc>
          <w:tcPr>
            <w:tcW w:w="618" w:type="pct"/>
          </w:tcPr>
          <w:p w14:paraId="50E98D46" w14:textId="77777777" w:rsidR="008C1F7A" w:rsidRPr="00301868" w:rsidRDefault="008C1F7A" w:rsidP="00980A06">
            <w:pPr>
              <w:spacing w:before="60" w:after="60" w:line="240" w:lineRule="auto"/>
              <w:ind w:firstLine="0"/>
              <w:jc w:val="center"/>
              <w:rPr>
                <w:rFonts w:ascii="Times New Roman" w:hAnsi="Times New Roman"/>
                <w:b/>
                <w:sz w:val="26"/>
                <w:szCs w:val="26"/>
                <w:lang w:val="en-US"/>
              </w:rPr>
            </w:pPr>
            <w:r w:rsidRPr="00301868">
              <w:rPr>
                <w:rFonts w:ascii="Times New Roman" w:hAnsi="Times New Roman"/>
                <w:b/>
                <w:sz w:val="26"/>
                <w:szCs w:val="26"/>
                <w:lang w:val="en-US"/>
              </w:rPr>
              <w:t>2018</w:t>
            </w:r>
          </w:p>
        </w:tc>
        <w:tc>
          <w:tcPr>
            <w:tcW w:w="618" w:type="pct"/>
          </w:tcPr>
          <w:p w14:paraId="2ADDA028" w14:textId="77777777" w:rsidR="008C1F7A" w:rsidRPr="00301868" w:rsidRDefault="008C1F7A" w:rsidP="00980A06">
            <w:pPr>
              <w:spacing w:before="60" w:after="60" w:line="240" w:lineRule="auto"/>
              <w:ind w:firstLine="0"/>
              <w:jc w:val="center"/>
              <w:rPr>
                <w:rFonts w:ascii="Times New Roman" w:hAnsi="Times New Roman"/>
                <w:b/>
                <w:sz w:val="26"/>
                <w:szCs w:val="26"/>
                <w:lang w:val="en-US"/>
              </w:rPr>
            </w:pPr>
            <w:r w:rsidRPr="00301868">
              <w:rPr>
                <w:rFonts w:ascii="Times New Roman" w:hAnsi="Times New Roman"/>
                <w:b/>
                <w:sz w:val="26"/>
                <w:szCs w:val="26"/>
                <w:lang w:val="en-US"/>
              </w:rPr>
              <w:t>2019</w:t>
            </w:r>
          </w:p>
        </w:tc>
      </w:tr>
      <w:tr w:rsidR="008C1F7A" w:rsidRPr="00301868" w14:paraId="161D81C4" w14:textId="77777777" w:rsidTr="00CB3A6B">
        <w:tc>
          <w:tcPr>
            <w:tcW w:w="2529" w:type="pct"/>
          </w:tcPr>
          <w:p w14:paraId="601874DE" w14:textId="77777777" w:rsidR="008C1F7A" w:rsidRPr="00301868" w:rsidRDefault="008C1F7A" w:rsidP="00980A06">
            <w:pPr>
              <w:spacing w:before="60" w:after="60" w:line="240" w:lineRule="auto"/>
              <w:ind w:firstLine="0"/>
              <w:rPr>
                <w:rFonts w:ascii="Times New Roman" w:hAnsi="Times New Roman"/>
                <w:b/>
                <w:sz w:val="26"/>
                <w:szCs w:val="26"/>
                <w:lang w:val="en-US"/>
              </w:rPr>
            </w:pPr>
            <w:r w:rsidRPr="00301868">
              <w:rPr>
                <w:rFonts w:ascii="Times New Roman" w:hAnsi="Times New Roman"/>
                <w:b/>
                <w:sz w:val="26"/>
                <w:szCs w:val="26"/>
                <w:lang w:val="en-US"/>
              </w:rPr>
              <w:t>Tổng sản phẩm trong nước (GDP)</w:t>
            </w:r>
          </w:p>
        </w:tc>
        <w:tc>
          <w:tcPr>
            <w:tcW w:w="618" w:type="pct"/>
          </w:tcPr>
          <w:p w14:paraId="25485FF0"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6,21%</w:t>
            </w:r>
          </w:p>
        </w:tc>
        <w:tc>
          <w:tcPr>
            <w:tcW w:w="618" w:type="pct"/>
          </w:tcPr>
          <w:p w14:paraId="64953441"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6,81</w:t>
            </w:r>
          </w:p>
        </w:tc>
        <w:tc>
          <w:tcPr>
            <w:tcW w:w="618" w:type="pct"/>
          </w:tcPr>
          <w:p w14:paraId="4B02990C"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7,31%</w:t>
            </w:r>
          </w:p>
        </w:tc>
        <w:tc>
          <w:tcPr>
            <w:tcW w:w="618" w:type="pct"/>
          </w:tcPr>
          <w:p w14:paraId="3DB64FBB"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6,97%</w:t>
            </w:r>
          </w:p>
        </w:tc>
      </w:tr>
      <w:tr w:rsidR="008C1F7A" w:rsidRPr="00301868" w14:paraId="416EDA98" w14:textId="77777777" w:rsidTr="00CB3A6B">
        <w:tc>
          <w:tcPr>
            <w:tcW w:w="2529" w:type="pct"/>
          </w:tcPr>
          <w:p w14:paraId="050804F6" w14:textId="77777777" w:rsidR="008C1F7A" w:rsidRPr="00301868" w:rsidRDefault="008C1F7A" w:rsidP="00980A06">
            <w:pPr>
              <w:spacing w:before="60" w:after="60" w:line="240" w:lineRule="auto"/>
              <w:ind w:firstLine="0"/>
              <w:rPr>
                <w:rFonts w:ascii="Times New Roman" w:hAnsi="Times New Roman"/>
                <w:b/>
                <w:sz w:val="26"/>
                <w:szCs w:val="26"/>
              </w:rPr>
            </w:pPr>
            <w:r w:rsidRPr="00301868">
              <w:rPr>
                <w:rFonts w:ascii="Times New Roman" w:hAnsi="Times New Roman"/>
                <w:b/>
                <w:sz w:val="26"/>
                <w:szCs w:val="26"/>
              </w:rPr>
              <w:t xml:space="preserve">Số doanh nghiệp thành lập mới </w:t>
            </w:r>
          </w:p>
        </w:tc>
        <w:tc>
          <w:tcPr>
            <w:tcW w:w="618" w:type="pct"/>
          </w:tcPr>
          <w:p w14:paraId="1FB31328"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 xml:space="preserve">110.100 </w:t>
            </w:r>
          </w:p>
        </w:tc>
        <w:tc>
          <w:tcPr>
            <w:tcW w:w="618" w:type="pct"/>
          </w:tcPr>
          <w:p w14:paraId="33F2AB71"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126.859</w:t>
            </w:r>
          </w:p>
        </w:tc>
        <w:tc>
          <w:tcPr>
            <w:tcW w:w="618" w:type="pct"/>
          </w:tcPr>
          <w:p w14:paraId="7FA7D395"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131.275</w:t>
            </w:r>
          </w:p>
        </w:tc>
        <w:tc>
          <w:tcPr>
            <w:tcW w:w="618" w:type="pct"/>
          </w:tcPr>
          <w:p w14:paraId="646CEA8C"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138.100</w:t>
            </w:r>
          </w:p>
        </w:tc>
      </w:tr>
      <w:tr w:rsidR="008C1F7A" w:rsidRPr="00301868" w14:paraId="4D4D77E8" w14:textId="77777777" w:rsidTr="00CB3A6B">
        <w:tc>
          <w:tcPr>
            <w:tcW w:w="2529" w:type="pct"/>
          </w:tcPr>
          <w:p w14:paraId="54C4DBF9" w14:textId="77777777" w:rsidR="008C1F7A" w:rsidRPr="00301868" w:rsidRDefault="008C1F7A" w:rsidP="00980A06">
            <w:pPr>
              <w:spacing w:before="60" w:after="60" w:line="240" w:lineRule="auto"/>
              <w:ind w:firstLine="0"/>
              <w:rPr>
                <w:rFonts w:ascii="Times New Roman" w:hAnsi="Times New Roman"/>
                <w:i/>
                <w:sz w:val="26"/>
                <w:szCs w:val="26"/>
                <w:lang w:val="en-US"/>
              </w:rPr>
            </w:pPr>
            <w:r w:rsidRPr="00301868">
              <w:rPr>
                <w:rFonts w:ascii="Times New Roman" w:hAnsi="Times New Roman"/>
                <w:i/>
                <w:sz w:val="26"/>
                <w:szCs w:val="26"/>
                <w:lang w:val="en-US"/>
              </w:rPr>
              <w:t>Tỷ lệ tăng so với năm trước</w:t>
            </w:r>
          </w:p>
        </w:tc>
        <w:tc>
          <w:tcPr>
            <w:tcW w:w="618" w:type="pct"/>
          </w:tcPr>
          <w:p w14:paraId="1F37C8BC" w14:textId="77777777" w:rsidR="008C1F7A" w:rsidRPr="00301868" w:rsidRDefault="008C1F7A" w:rsidP="00980A06">
            <w:pPr>
              <w:spacing w:before="60" w:after="60" w:line="240" w:lineRule="auto"/>
              <w:ind w:firstLine="0"/>
              <w:jc w:val="center"/>
              <w:rPr>
                <w:rFonts w:ascii="Times New Roman" w:hAnsi="Times New Roman"/>
                <w:i/>
                <w:sz w:val="26"/>
                <w:szCs w:val="26"/>
                <w:lang w:val="en-US"/>
              </w:rPr>
            </w:pPr>
            <w:r w:rsidRPr="00301868">
              <w:rPr>
                <w:rFonts w:ascii="Times New Roman" w:hAnsi="Times New Roman"/>
                <w:i/>
                <w:sz w:val="26"/>
                <w:szCs w:val="26"/>
                <w:lang w:val="en-US"/>
              </w:rPr>
              <w:t>-</w:t>
            </w:r>
          </w:p>
        </w:tc>
        <w:tc>
          <w:tcPr>
            <w:tcW w:w="618" w:type="pct"/>
          </w:tcPr>
          <w:p w14:paraId="3A1C8FA4"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115,22%</w:t>
            </w:r>
          </w:p>
        </w:tc>
        <w:tc>
          <w:tcPr>
            <w:tcW w:w="618" w:type="pct"/>
          </w:tcPr>
          <w:p w14:paraId="74BF5B05"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103,48%</w:t>
            </w:r>
          </w:p>
        </w:tc>
        <w:tc>
          <w:tcPr>
            <w:tcW w:w="618" w:type="pct"/>
          </w:tcPr>
          <w:p w14:paraId="6C13C3DA"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105,20%</w:t>
            </w:r>
          </w:p>
        </w:tc>
      </w:tr>
      <w:tr w:rsidR="008C1F7A" w:rsidRPr="00301868" w14:paraId="3262D17D" w14:textId="77777777" w:rsidTr="00CB3A6B">
        <w:tc>
          <w:tcPr>
            <w:tcW w:w="2529" w:type="pct"/>
          </w:tcPr>
          <w:p w14:paraId="2FFDE6E9" w14:textId="77777777" w:rsidR="008C1F7A" w:rsidRPr="00301868" w:rsidRDefault="008C1F7A" w:rsidP="00980A06">
            <w:pPr>
              <w:spacing w:before="60" w:after="60" w:line="240" w:lineRule="auto"/>
              <w:ind w:firstLine="0"/>
              <w:rPr>
                <w:rFonts w:ascii="Times New Roman" w:hAnsi="Times New Roman"/>
                <w:b/>
                <w:sz w:val="26"/>
                <w:szCs w:val="26"/>
              </w:rPr>
            </w:pPr>
            <w:r w:rsidRPr="00301868">
              <w:rPr>
                <w:rFonts w:ascii="Times New Roman" w:hAnsi="Times New Roman"/>
                <w:b/>
                <w:sz w:val="26"/>
                <w:szCs w:val="26"/>
              </w:rPr>
              <w:t xml:space="preserve">Số doanh nghiệp quay trở lại hoạt động </w:t>
            </w:r>
          </w:p>
        </w:tc>
        <w:tc>
          <w:tcPr>
            <w:tcW w:w="618" w:type="pct"/>
          </w:tcPr>
          <w:p w14:paraId="3A903423"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26.689</w:t>
            </w:r>
          </w:p>
        </w:tc>
        <w:tc>
          <w:tcPr>
            <w:tcW w:w="618" w:type="pct"/>
          </w:tcPr>
          <w:p w14:paraId="492D0518"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26.448</w:t>
            </w:r>
          </w:p>
        </w:tc>
        <w:tc>
          <w:tcPr>
            <w:tcW w:w="618" w:type="pct"/>
          </w:tcPr>
          <w:p w14:paraId="5F295683"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34.010</w:t>
            </w:r>
          </w:p>
        </w:tc>
        <w:tc>
          <w:tcPr>
            <w:tcW w:w="618" w:type="pct"/>
          </w:tcPr>
          <w:p w14:paraId="4FE8D5E7"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39.400</w:t>
            </w:r>
          </w:p>
        </w:tc>
      </w:tr>
      <w:tr w:rsidR="008C1F7A" w:rsidRPr="00301868" w14:paraId="79850435" w14:textId="77777777" w:rsidTr="00CB3A6B">
        <w:tc>
          <w:tcPr>
            <w:tcW w:w="2529" w:type="pct"/>
          </w:tcPr>
          <w:p w14:paraId="140B88B2" w14:textId="77777777" w:rsidR="008C1F7A" w:rsidRPr="00301868" w:rsidRDefault="008C1F7A" w:rsidP="00980A06">
            <w:pPr>
              <w:spacing w:before="60" w:after="60" w:line="240" w:lineRule="auto"/>
              <w:ind w:firstLine="0"/>
              <w:rPr>
                <w:rFonts w:ascii="Times New Roman" w:hAnsi="Times New Roman"/>
                <w:sz w:val="26"/>
                <w:szCs w:val="26"/>
                <w:lang w:val="en-US"/>
              </w:rPr>
            </w:pPr>
            <w:r w:rsidRPr="00301868">
              <w:rPr>
                <w:rFonts w:ascii="Times New Roman" w:hAnsi="Times New Roman"/>
                <w:i/>
                <w:sz w:val="26"/>
                <w:szCs w:val="26"/>
                <w:lang w:val="en-US"/>
              </w:rPr>
              <w:t>Tỷ lệ tăng so với năm trước</w:t>
            </w:r>
          </w:p>
        </w:tc>
        <w:tc>
          <w:tcPr>
            <w:tcW w:w="618" w:type="pct"/>
          </w:tcPr>
          <w:p w14:paraId="1987D7CD" w14:textId="77777777" w:rsidR="008C1F7A" w:rsidRPr="00301868" w:rsidRDefault="008C1F7A" w:rsidP="00980A06">
            <w:pPr>
              <w:spacing w:before="60" w:after="60" w:line="240" w:lineRule="auto"/>
              <w:ind w:firstLine="0"/>
              <w:jc w:val="center"/>
              <w:rPr>
                <w:rFonts w:ascii="Times New Roman" w:hAnsi="Times New Roman"/>
                <w:i/>
                <w:sz w:val="26"/>
                <w:szCs w:val="26"/>
                <w:lang w:val="en-US"/>
              </w:rPr>
            </w:pPr>
            <w:r w:rsidRPr="00301868">
              <w:rPr>
                <w:rFonts w:ascii="Times New Roman" w:hAnsi="Times New Roman"/>
                <w:i/>
                <w:sz w:val="26"/>
                <w:szCs w:val="26"/>
                <w:lang w:val="en-US"/>
              </w:rPr>
              <w:t>-</w:t>
            </w:r>
          </w:p>
        </w:tc>
        <w:tc>
          <w:tcPr>
            <w:tcW w:w="618" w:type="pct"/>
          </w:tcPr>
          <w:p w14:paraId="0B6EA3B9"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99,10%</w:t>
            </w:r>
          </w:p>
        </w:tc>
        <w:tc>
          <w:tcPr>
            <w:tcW w:w="618" w:type="pct"/>
          </w:tcPr>
          <w:p w14:paraId="2E8BB84A"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128,59%</w:t>
            </w:r>
          </w:p>
        </w:tc>
        <w:tc>
          <w:tcPr>
            <w:tcW w:w="618" w:type="pct"/>
          </w:tcPr>
          <w:p w14:paraId="4129BEAF"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115,85%</w:t>
            </w:r>
          </w:p>
        </w:tc>
      </w:tr>
      <w:tr w:rsidR="008C1F7A" w:rsidRPr="00301868" w14:paraId="548D1F33" w14:textId="77777777" w:rsidTr="00CB3A6B">
        <w:trPr>
          <w:trHeight w:val="375"/>
        </w:trPr>
        <w:tc>
          <w:tcPr>
            <w:tcW w:w="2529" w:type="pct"/>
          </w:tcPr>
          <w:p w14:paraId="7EFF4DC6" w14:textId="77777777" w:rsidR="008C1F7A" w:rsidRPr="00301868" w:rsidRDefault="008C1F7A" w:rsidP="00980A06">
            <w:pPr>
              <w:spacing w:before="60" w:after="60" w:line="240" w:lineRule="auto"/>
              <w:ind w:firstLine="0"/>
              <w:rPr>
                <w:rFonts w:ascii="Times New Roman" w:hAnsi="Times New Roman"/>
                <w:b/>
                <w:sz w:val="26"/>
                <w:szCs w:val="26"/>
              </w:rPr>
            </w:pPr>
            <w:r w:rsidRPr="00301868">
              <w:rPr>
                <w:rFonts w:ascii="Times New Roman" w:hAnsi="Times New Roman"/>
                <w:b/>
                <w:sz w:val="26"/>
                <w:szCs w:val="26"/>
              </w:rPr>
              <w:t>Số doanh nghiệp tạm ngừng hoạt động</w:t>
            </w:r>
          </w:p>
        </w:tc>
        <w:tc>
          <w:tcPr>
            <w:tcW w:w="618" w:type="pct"/>
          </w:tcPr>
          <w:p w14:paraId="2357B41F"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60.667</w:t>
            </w:r>
          </w:p>
        </w:tc>
        <w:tc>
          <w:tcPr>
            <w:tcW w:w="618" w:type="pct"/>
          </w:tcPr>
          <w:p w14:paraId="76A5C13B"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60.553</w:t>
            </w:r>
          </w:p>
        </w:tc>
        <w:tc>
          <w:tcPr>
            <w:tcW w:w="618" w:type="pct"/>
          </w:tcPr>
          <w:p w14:paraId="4FF2E892"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90.651</w:t>
            </w:r>
          </w:p>
        </w:tc>
        <w:tc>
          <w:tcPr>
            <w:tcW w:w="618" w:type="pct"/>
          </w:tcPr>
          <w:p w14:paraId="34D117DC" w14:textId="77777777" w:rsidR="008C1F7A" w:rsidRPr="00301868" w:rsidRDefault="008C1F7A" w:rsidP="00980A06">
            <w:pPr>
              <w:spacing w:before="60" w:after="6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119.200</w:t>
            </w:r>
          </w:p>
        </w:tc>
      </w:tr>
      <w:tr w:rsidR="008C1F7A" w:rsidRPr="00301868" w14:paraId="41A3BB13" w14:textId="77777777" w:rsidTr="00CB3A6B">
        <w:tc>
          <w:tcPr>
            <w:tcW w:w="2529" w:type="pct"/>
          </w:tcPr>
          <w:p w14:paraId="44F2BDEB" w14:textId="77777777" w:rsidR="008C1F7A" w:rsidRPr="00301868" w:rsidRDefault="008C1F7A" w:rsidP="00980A06">
            <w:pPr>
              <w:spacing w:before="60" w:after="60" w:line="240" w:lineRule="auto"/>
              <w:ind w:firstLine="0"/>
              <w:rPr>
                <w:rFonts w:ascii="Times New Roman" w:hAnsi="Times New Roman"/>
                <w:sz w:val="26"/>
                <w:szCs w:val="26"/>
                <w:lang w:val="en-US"/>
              </w:rPr>
            </w:pPr>
            <w:r w:rsidRPr="00301868">
              <w:rPr>
                <w:rFonts w:ascii="Times New Roman" w:hAnsi="Times New Roman"/>
                <w:i/>
                <w:sz w:val="26"/>
                <w:szCs w:val="26"/>
                <w:lang w:val="en-US"/>
              </w:rPr>
              <w:t>Tỷ lệ tăng so với năm trước</w:t>
            </w:r>
          </w:p>
        </w:tc>
        <w:tc>
          <w:tcPr>
            <w:tcW w:w="618" w:type="pct"/>
          </w:tcPr>
          <w:p w14:paraId="2F6CCAC5" w14:textId="77777777" w:rsidR="008C1F7A" w:rsidRPr="00301868" w:rsidRDefault="008C1F7A" w:rsidP="00980A06">
            <w:pPr>
              <w:spacing w:before="60" w:after="60" w:line="240" w:lineRule="auto"/>
              <w:ind w:firstLine="0"/>
              <w:jc w:val="center"/>
              <w:rPr>
                <w:rFonts w:ascii="Times New Roman" w:hAnsi="Times New Roman"/>
                <w:i/>
                <w:sz w:val="26"/>
                <w:szCs w:val="26"/>
                <w:lang w:val="en-US"/>
              </w:rPr>
            </w:pPr>
            <w:r w:rsidRPr="00301868">
              <w:rPr>
                <w:rFonts w:ascii="Times New Roman" w:hAnsi="Times New Roman"/>
                <w:i/>
                <w:sz w:val="26"/>
                <w:szCs w:val="26"/>
                <w:lang w:val="en-US"/>
              </w:rPr>
              <w:t>-</w:t>
            </w:r>
          </w:p>
        </w:tc>
        <w:tc>
          <w:tcPr>
            <w:tcW w:w="618" w:type="pct"/>
          </w:tcPr>
          <w:p w14:paraId="7BABBEB4"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99,81%</w:t>
            </w:r>
          </w:p>
        </w:tc>
        <w:tc>
          <w:tcPr>
            <w:tcW w:w="618" w:type="pct"/>
          </w:tcPr>
          <w:p w14:paraId="06C0091D"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149,71%</w:t>
            </w:r>
          </w:p>
        </w:tc>
        <w:tc>
          <w:tcPr>
            <w:tcW w:w="618" w:type="pct"/>
          </w:tcPr>
          <w:p w14:paraId="102A4B9F"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131,49%</w:t>
            </w:r>
          </w:p>
        </w:tc>
      </w:tr>
      <w:tr w:rsidR="008C1F7A" w:rsidRPr="00301868" w14:paraId="5B7A70AD" w14:textId="77777777" w:rsidTr="00CB3A6B">
        <w:tc>
          <w:tcPr>
            <w:tcW w:w="2529" w:type="pct"/>
          </w:tcPr>
          <w:p w14:paraId="414C971A" w14:textId="77777777" w:rsidR="008C1F7A" w:rsidRPr="00301868" w:rsidRDefault="008C1F7A" w:rsidP="00980A06">
            <w:pPr>
              <w:spacing w:before="60" w:after="60" w:line="240" w:lineRule="auto"/>
              <w:ind w:firstLine="0"/>
              <w:rPr>
                <w:rFonts w:ascii="Times New Roman" w:hAnsi="Times New Roman"/>
                <w:i/>
                <w:sz w:val="26"/>
                <w:szCs w:val="26"/>
              </w:rPr>
            </w:pPr>
            <w:r w:rsidRPr="00301868">
              <w:rPr>
                <w:rFonts w:ascii="Times New Roman" w:hAnsi="Times New Roman"/>
                <w:i/>
                <w:sz w:val="26"/>
                <w:szCs w:val="26"/>
              </w:rPr>
              <w:t>Trong đó:</w:t>
            </w:r>
          </w:p>
          <w:p w14:paraId="324D9A10" w14:textId="7E8D4DE3" w:rsidR="008C1F7A" w:rsidRPr="00301868" w:rsidRDefault="00980A06" w:rsidP="00980A06">
            <w:pPr>
              <w:spacing w:before="60" w:after="60" w:line="240" w:lineRule="auto"/>
              <w:ind w:firstLine="0"/>
              <w:rPr>
                <w:rFonts w:ascii="Times New Roman" w:hAnsi="Times New Roman"/>
                <w:sz w:val="26"/>
                <w:szCs w:val="26"/>
              </w:rPr>
            </w:pPr>
            <w:r w:rsidRPr="00301868">
              <w:rPr>
                <w:rFonts w:ascii="Times New Roman" w:hAnsi="Times New Roman"/>
                <w:sz w:val="26"/>
                <w:szCs w:val="26"/>
              </w:rPr>
              <w:t xml:space="preserve">- </w:t>
            </w:r>
            <w:r w:rsidR="008C1F7A" w:rsidRPr="00301868">
              <w:rPr>
                <w:rFonts w:ascii="Times New Roman" w:hAnsi="Times New Roman"/>
                <w:sz w:val="26"/>
                <w:szCs w:val="26"/>
              </w:rPr>
              <w:t>Tạm ngừng kinh doanh có thời hạn</w:t>
            </w:r>
          </w:p>
        </w:tc>
        <w:tc>
          <w:tcPr>
            <w:tcW w:w="618" w:type="pct"/>
          </w:tcPr>
          <w:p w14:paraId="661C1494" w14:textId="77777777" w:rsidR="008C1F7A" w:rsidRPr="00301868" w:rsidRDefault="008C1F7A" w:rsidP="00980A06">
            <w:pPr>
              <w:spacing w:before="60" w:after="60" w:line="240" w:lineRule="auto"/>
              <w:ind w:firstLine="0"/>
              <w:jc w:val="right"/>
              <w:rPr>
                <w:rFonts w:ascii="Times New Roman" w:hAnsi="Times New Roman"/>
                <w:sz w:val="26"/>
                <w:szCs w:val="26"/>
              </w:rPr>
            </w:pPr>
          </w:p>
          <w:p w14:paraId="5E4E5784"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r w:rsidRPr="00301868">
              <w:rPr>
                <w:rFonts w:ascii="Times New Roman" w:hAnsi="Times New Roman"/>
                <w:sz w:val="26"/>
                <w:szCs w:val="26"/>
                <w:lang w:val="en-US"/>
              </w:rPr>
              <w:t>19.917</w:t>
            </w:r>
          </w:p>
        </w:tc>
        <w:tc>
          <w:tcPr>
            <w:tcW w:w="618" w:type="pct"/>
          </w:tcPr>
          <w:p w14:paraId="7E80566A"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p>
          <w:p w14:paraId="1C801D31"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r w:rsidRPr="00301868">
              <w:rPr>
                <w:rFonts w:ascii="Times New Roman" w:hAnsi="Times New Roman"/>
                <w:sz w:val="26"/>
                <w:szCs w:val="26"/>
                <w:lang w:val="en-US"/>
              </w:rPr>
              <w:t>21.684</w:t>
            </w:r>
          </w:p>
        </w:tc>
        <w:tc>
          <w:tcPr>
            <w:tcW w:w="618" w:type="pct"/>
          </w:tcPr>
          <w:p w14:paraId="79EC9DDD"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p>
          <w:p w14:paraId="057128EA"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r w:rsidRPr="00301868">
              <w:rPr>
                <w:rFonts w:ascii="Times New Roman" w:hAnsi="Times New Roman"/>
                <w:sz w:val="26"/>
                <w:szCs w:val="26"/>
                <w:lang w:val="en-US"/>
              </w:rPr>
              <w:t>27.126</w:t>
            </w:r>
          </w:p>
        </w:tc>
        <w:tc>
          <w:tcPr>
            <w:tcW w:w="618" w:type="pct"/>
          </w:tcPr>
          <w:p w14:paraId="613B55C6"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p>
          <w:p w14:paraId="3C5672AF"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r w:rsidRPr="00301868">
              <w:rPr>
                <w:rFonts w:ascii="Times New Roman" w:hAnsi="Times New Roman"/>
                <w:sz w:val="26"/>
                <w:szCs w:val="26"/>
                <w:lang w:val="en-US"/>
              </w:rPr>
              <w:t>28.700</w:t>
            </w:r>
          </w:p>
        </w:tc>
      </w:tr>
      <w:tr w:rsidR="008C1F7A" w:rsidRPr="00301868" w14:paraId="3AD0ECD7" w14:textId="77777777" w:rsidTr="00CB3A6B">
        <w:tc>
          <w:tcPr>
            <w:tcW w:w="2529" w:type="pct"/>
          </w:tcPr>
          <w:p w14:paraId="0341732B" w14:textId="27B54AA6" w:rsidR="008C1F7A" w:rsidRPr="00301868" w:rsidRDefault="00980A06" w:rsidP="00980A06">
            <w:pPr>
              <w:spacing w:before="60" w:after="60" w:line="240" w:lineRule="auto"/>
              <w:ind w:firstLine="0"/>
              <w:rPr>
                <w:rFonts w:ascii="Times New Roman" w:hAnsi="Times New Roman"/>
                <w:i/>
                <w:sz w:val="26"/>
                <w:szCs w:val="26"/>
                <w:lang w:val="en-US"/>
              </w:rPr>
            </w:pPr>
            <w:r w:rsidRPr="00301868">
              <w:rPr>
                <w:rFonts w:ascii="Times New Roman" w:hAnsi="Times New Roman"/>
                <w:i/>
                <w:sz w:val="26"/>
                <w:szCs w:val="26"/>
                <w:lang w:val="en-US"/>
              </w:rPr>
              <w:t xml:space="preserve">- </w:t>
            </w:r>
            <w:r w:rsidR="008C1F7A" w:rsidRPr="00301868">
              <w:rPr>
                <w:rFonts w:ascii="Times New Roman" w:hAnsi="Times New Roman"/>
                <w:i/>
                <w:sz w:val="26"/>
                <w:szCs w:val="26"/>
                <w:lang w:val="en-US"/>
              </w:rPr>
              <w:t>Tỷ lệ tăng so với năm trước</w:t>
            </w:r>
          </w:p>
        </w:tc>
        <w:tc>
          <w:tcPr>
            <w:tcW w:w="618" w:type="pct"/>
          </w:tcPr>
          <w:p w14:paraId="00EBF5B1" w14:textId="77777777" w:rsidR="008C1F7A" w:rsidRPr="00301868" w:rsidRDefault="008C1F7A" w:rsidP="00980A06">
            <w:pPr>
              <w:spacing w:before="60" w:after="60" w:line="240" w:lineRule="auto"/>
              <w:ind w:firstLine="0"/>
              <w:jc w:val="center"/>
              <w:rPr>
                <w:rFonts w:ascii="Times New Roman" w:hAnsi="Times New Roman"/>
                <w:i/>
                <w:sz w:val="26"/>
                <w:szCs w:val="26"/>
                <w:lang w:val="en-US"/>
              </w:rPr>
            </w:pPr>
            <w:r w:rsidRPr="00301868">
              <w:rPr>
                <w:rFonts w:ascii="Times New Roman" w:hAnsi="Times New Roman"/>
                <w:i/>
                <w:sz w:val="26"/>
                <w:szCs w:val="26"/>
                <w:lang w:val="en-US"/>
              </w:rPr>
              <w:t>-</w:t>
            </w:r>
          </w:p>
        </w:tc>
        <w:tc>
          <w:tcPr>
            <w:tcW w:w="618" w:type="pct"/>
          </w:tcPr>
          <w:p w14:paraId="773D3C33"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108,87%</w:t>
            </w:r>
          </w:p>
        </w:tc>
        <w:tc>
          <w:tcPr>
            <w:tcW w:w="618" w:type="pct"/>
          </w:tcPr>
          <w:p w14:paraId="033B6A82"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125,10%</w:t>
            </w:r>
          </w:p>
        </w:tc>
        <w:tc>
          <w:tcPr>
            <w:tcW w:w="618" w:type="pct"/>
          </w:tcPr>
          <w:p w14:paraId="1971B8F2"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105,80%</w:t>
            </w:r>
          </w:p>
        </w:tc>
      </w:tr>
      <w:tr w:rsidR="008C1F7A" w:rsidRPr="00301868" w14:paraId="49FDCD24" w14:textId="77777777" w:rsidTr="00CB3A6B">
        <w:tc>
          <w:tcPr>
            <w:tcW w:w="2529" w:type="pct"/>
          </w:tcPr>
          <w:p w14:paraId="7C1AC52D" w14:textId="3C91B2F7" w:rsidR="008C1F7A" w:rsidRPr="00301868" w:rsidRDefault="00980A06" w:rsidP="00980A06">
            <w:pPr>
              <w:spacing w:before="60" w:after="60" w:line="240" w:lineRule="auto"/>
              <w:ind w:firstLine="0"/>
              <w:rPr>
                <w:rFonts w:ascii="Times New Roman" w:hAnsi="Times New Roman"/>
                <w:sz w:val="26"/>
                <w:szCs w:val="26"/>
              </w:rPr>
            </w:pPr>
            <w:r w:rsidRPr="00301868">
              <w:rPr>
                <w:rFonts w:ascii="Times New Roman" w:hAnsi="Times New Roman"/>
                <w:sz w:val="26"/>
                <w:szCs w:val="26"/>
              </w:rPr>
              <w:t xml:space="preserve">- </w:t>
            </w:r>
            <w:r w:rsidR="008C1F7A" w:rsidRPr="00301868">
              <w:rPr>
                <w:rFonts w:ascii="Times New Roman" w:hAnsi="Times New Roman"/>
                <w:sz w:val="26"/>
                <w:szCs w:val="26"/>
              </w:rPr>
              <w:t>Tạm ngừng hoạt động không đăng ký hoặc chờ giải thể</w:t>
            </w:r>
          </w:p>
        </w:tc>
        <w:tc>
          <w:tcPr>
            <w:tcW w:w="618" w:type="pct"/>
          </w:tcPr>
          <w:p w14:paraId="2A0B3DB8" w14:textId="77777777" w:rsidR="008C1F7A" w:rsidRPr="00301868" w:rsidRDefault="008C1F7A" w:rsidP="00980A06">
            <w:pPr>
              <w:spacing w:before="60" w:after="60" w:line="240" w:lineRule="auto"/>
              <w:ind w:firstLine="0"/>
              <w:jc w:val="right"/>
              <w:rPr>
                <w:rFonts w:ascii="Times New Roman" w:hAnsi="Times New Roman"/>
                <w:sz w:val="26"/>
                <w:szCs w:val="26"/>
              </w:rPr>
            </w:pPr>
          </w:p>
          <w:p w14:paraId="0C4B84C1"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r w:rsidRPr="00301868">
              <w:rPr>
                <w:rFonts w:ascii="Times New Roman" w:hAnsi="Times New Roman"/>
                <w:sz w:val="26"/>
                <w:szCs w:val="26"/>
                <w:lang w:val="en-US"/>
              </w:rPr>
              <w:t>40.750</w:t>
            </w:r>
          </w:p>
        </w:tc>
        <w:tc>
          <w:tcPr>
            <w:tcW w:w="618" w:type="pct"/>
          </w:tcPr>
          <w:p w14:paraId="48308979"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p>
          <w:p w14:paraId="0916CAFD"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r w:rsidRPr="00301868">
              <w:rPr>
                <w:rFonts w:ascii="Times New Roman" w:hAnsi="Times New Roman"/>
                <w:sz w:val="26"/>
                <w:szCs w:val="26"/>
                <w:lang w:val="en-US"/>
              </w:rPr>
              <w:t>38.869</w:t>
            </w:r>
          </w:p>
        </w:tc>
        <w:tc>
          <w:tcPr>
            <w:tcW w:w="618" w:type="pct"/>
          </w:tcPr>
          <w:p w14:paraId="4A761231"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p>
          <w:p w14:paraId="2EA4CA2D"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r w:rsidRPr="00301868">
              <w:rPr>
                <w:rFonts w:ascii="Times New Roman" w:hAnsi="Times New Roman"/>
                <w:sz w:val="26"/>
                <w:szCs w:val="26"/>
                <w:lang w:val="en-US"/>
              </w:rPr>
              <w:t>63.525</w:t>
            </w:r>
          </w:p>
        </w:tc>
        <w:tc>
          <w:tcPr>
            <w:tcW w:w="618" w:type="pct"/>
          </w:tcPr>
          <w:p w14:paraId="02ECFB2A" w14:textId="77777777" w:rsidR="008C1F7A" w:rsidRPr="00301868" w:rsidRDefault="008C1F7A" w:rsidP="00980A06">
            <w:pPr>
              <w:spacing w:before="60" w:after="60" w:line="240" w:lineRule="auto"/>
              <w:ind w:firstLine="0"/>
              <w:jc w:val="right"/>
              <w:rPr>
                <w:rFonts w:ascii="Times New Roman" w:hAnsi="Times New Roman"/>
                <w:sz w:val="26"/>
                <w:szCs w:val="26"/>
                <w:lang w:val="en-US"/>
              </w:rPr>
            </w:pPr>
          </w:p>
          <w:p w14:paraId="586C336D" w14:textId="77777777" w:rsidR="008C1F7A" w:rsidRPr="00301868" w:rsidRDefault="008C1F7A" w:rsidP="00980A06">
            <w:pPr>
              <w:spacing w:before="60" w:after="60" w:line="240" w:lineRule="auto"/>
              <w:ind w:firstLine="0"/>
              <w:jc w:val="right"/>
              <w:rPr>
                <w:rFonts w:ascii="Times New Roman" w:hAnsi="Times New Roman"/>
                <w:sz w:val="26"/>
                <w:szCs w:val="26"/>
                <w:vertAlign w:val="superscript"/>
                <w:lang w:val="en-US"/>
              </w:rPr>
            </w:pPr>
            <w:r w:rsidRPr="00301868">
              <w:rPr>
                <w:rFonts w:ascii="Times New Roman" w:hAnsi="Times New Roman"/>
                <w:sz w:val="26"/>
                <w:szCs w:val="26"/>
                <w:lang w:val="en-US"/>
              </w:rPr>
              <w:t>90.500</w:t>
            </w:r>
          </w:p>
        </w:tc>
      </w:tr>
      <w:tr w:rsidR="008C1F7A" w:rsidRPr="00301868" w14:paraId="12368444" w14:textId="77777777" w:rsidTr="00CB3A6B">
        <w:tc>
          <w:tcPr>
            <w:tcW w:w="2529" w:type="pct"/>
          </w:tcPr>
          <w:p w14:paraId="28B3C82E" w14:textId="684F0614" w:rsidR="008C1F7A" w:rsidRPr="00301868" w:rsidRDefault="00980A06" w:rsidP="00980A06">
            <w:pPr>
              <w:spacing w:before="60" w:after="60" w:line="240" w:lineRule="auto"/>
              <w:ind w:firstLine="0"/>
              <w:rPr>
                <w:rFonts w:ascii="Times New Roman" w:hAnsi="Times New Roman"/>
                <w:i/>
                <w:sz w:val="26"/>
                <w:szCs w:val="26"/>
                <w:lang w:val="en-US"/>
              </w:rPr>
            </w:pPr>
            <w:r w:rsidRPr="00301868">
              <w:rPr>
                <w:rFonts w:ascii="Times New Roman" w:hAnsi="Times New Roman"/>
                <w:i/>
                <w:sz w:val="26"/>
                <w:szCs w:val="26"/>
                <w:lang w:val="en-US"/>
              </w:rPr>
              <w:t xml:space="preserve">- </w:t>
            </w:r>
            <w:r w:rsidR="008C1F7A" w:rsidRPr="00301868">
              <w:rPr>
                <w:rFonts w:ascii="Times New Roman" w:hAnsi="Times New Roman"/>
                <w:i/>
                <w:sz w:val="26"/>
                <w:szCs w:val="26"/>
                <w:lang w:val="en-US"/>
              </w:rPr>
              <w:t>Tỷ lệ tăng so với năm trước</w:t>
            </w:r>
          </w:p>
        </w:tc>
        <w:tc>
          <w:tcPr>
            <w:tcW w:w="618" w:type="pct"/>
          </w:tcPr>
          <w:p w14:paraId="141347FB" w14:textId="77777777" w:rsidR="008C1F7A" w:rsidRPr="00301868" w:rsidRDefault="008C1F7A" w:rsidP="00980A06">
            <w:pPr>
              <w:spacing w:before="60" w:after="60" w:line="240" w:lineRule="auto"/>
              <w:ind w:firstLine="0"/>
              <w:jc w:val="center"/>
              <w:rPr>
                <w:rFonts w:ascii="Times New Roman" w:hAnsi="Times New Roman"/>
                <w:i/>
                <w:sz w:val="26"/>
                <w:szCs w:val="26"/>
                <w:lang w:val="en-US"/>
              </w:rPr>
            </w:pPr>
            <w:r w:rsidRPr="00301868">
              <w:rPr>
                <w:rFonts w:ascii="Times New Roman" w:hAnsi="Times New Roman"/>
                <w:i/>
                <w:sz w:val="26"/>
                <w:szCs w:val="26"/>
                <w:lang w:val="en-US"/>
              </w:rPr>
              <w:t>-</w:t>
            </w:r>
          </w:p>
        </w:tc>
        <w:tc>
          <w:tcPr>
            <w:tcW w:w="618" w:type="pct"/>
          </w:tcPr>
          <w:p w14:paraId="42BD35A9"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95,38%</w:t>
            </w:r>
          </w:p>
        </w:tc>
        <w:tc>
          <w:tcPr>
            <w:tcW w:w="618" w:type="pct"/>
          </w:tcPr>
          <w:p w14:paraId="6FC06730"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163,43%</w:t>
            </w:r>
          </w:p>
        </w:tc>
        <w:tc>
          <w:tcPr>
            <w:tcW w:w="618" w:type="pct"/>
          </w:tcPr>
          <w:p w14:paraId="434391A0" w14:textId="77777777" w:rsidR="008C1F7A" w:rsidRPr="00301868" w:rsidRDefault="008C1F7A" w:rsidP="00980A06">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142,4%</w:t>
            </w:r>
          </w:p>
        </w:tc>
      </w:tr>
    </w:tbl>
    <w:p w14:paraId="507CCFB6" w14:textId="77777777" w:rsidR="008C1F7A" w:rsidRPr="00301868" w:rsidRDefault="008C1F7A" w:rsidP="008C1F7A">
      <w:pPr>
        <w:spacing w:before="60" w:after="0" w:line="240" w:lineRule="auto"/>
        <w:ind w:firstLine="0"/>
        <w:rPr>
          <w:rFonts w:eastAsia="Calibri"/>
        </w:rPr>
      </w:pPr>
      <w:r w:rsidRPr="00301868">
        <w:rPr>
          <w:rFonts w:eastAsia="Calibri"/>
          <w:i/>
          <w:sz w:val="24"/>
          <w:szCs w:val="24"/>
        </w:rPr>
        <w:t xml:space="preserve">Nguồn: Báo cáo tình hình phát triển kinh tế - xã hội của Chính phủ các năm 2016, 2017, 2018 và 2019. </w:t>
      </w:r>
    </w:p>
    <w:p w14:paraId="36B18159" w14:textId="4D00A626" w:rsidR="008C1F7A" w:rsidRPr="00301868" w:rsidRDefault="008C1F7A" w:rsidP="005C6DED">
      <w:pPr>
        <w:pStyle w:val="Heading3"/>
        <w:rPr>
          <w:rFonts w:eastAsia="Calibri"/>
        </w:rPr>
      </w:pPr>
      <w:bookmarkStart w:id="4" w:name="_Toc63186673"/>
      <w:r w:rsidRPr="00301868">
        <w:rPr>
          <w:rFonts w:eastAsia="Calibri"/>
        </w:rPr>
        <w:t>1.2</w:t>
      </w:r>
      <w:r w:rsidR="005C6DED" w:rsidRPr="00301868">
        <w:rPr>
          <w:rFonts w:eastAsia="Calibri"/>
        </w:rPr>
        <w:t>.</w:t>
      </w:r>
      <w:r w:rsidRPr="00301868">
        <w:rPr>
          <w:rFonts w:eastAsia="Calibri"/>
        </w:rPr>
        <w:t xml:space="preserve"> Về lao động</w:t>
      </w:r>
      <w:r w:rsidR="005C6DED" w:rsidRPr="00301868">
        <w:rPr>
          <w:rFonts w:eastAsia="Calibri"/>
        </w:rPr>
        <w:t>,</w:t>
      </w:r>
      <w:r w:rsidRPr="00301868">
        <w:rPr>
          <w:rFonts w:eastAsia="Calibri"/>
        </w:rPr>
        <w:t xml:space="preserve"> việc làm</w:t>
      </w:r>
      <w:bookmarkEnd w:id="4"/>
      <w:r w:rsidRPr="00301868">
        <w:rPr>
          <w:rFonts w:eastAsia="Calibri"/>
        </w:rPr>
        <w:t xml:space="preserve"> </w:t>
      </w:r>
    </w:p>
    <w:p w14:paraId="10FC3D8F" w14:textId="6C157445" w:rsidR="008C1F7A" w:rsidRPr="00301868" w:rsidRDefault="008C1F7A" w:rsidP="005C6DED">
      <w:pPr>
        <w:rPr>
          <w:rFonts w:eastAsia="Calibri"/>
        </w:rPr>
      </w:pPr>
      <w:r w:rsidRPr="00301868">
        <w:rPr>
          <w:rFonts w:eastAsia="Calibri"/>
        </w:rPr>
        <w:t xml:space="preserve">Tình hình lao động </w:t>
      </w:r>
      <w:r w:rsidR="00CB18DF" w:rsidRPr="00301868">
        <w:rPr>
          <w:rFonts w:eastAsia="Calibri"/>
        </w:rPr>
        <w:t>-</w:t>
      </w:r>
      <w:r w:rsidRPr="00301868">
        <w:rPr>
          <w:rFonts w:eastAsia="Calibri"/>
        </w:rPr>
        <w:t xml:space="preserve"> việc làm có tác động rất lớn đến hiệu quả của việc triển khai thực hiện pháp luật bảo hiểm xã hội ở các khía cạnh diện bao phủ, khả năng đóng góp của các nhóm lao động. Số liệu thống kê cho thấy trong giai đoạn 2016</w:t>
      </w:r>
      <w:r w:rsidR="00CB18DF" w:rsidRPr="00301868">
        <w:rPr>
          <w:rFonts w:eastAsia="Calibri"/>
        </w:rPr>
        <w:t>-</w:t>
      </w:r>
      <w:r w:rsidRPr="00301868">
        <w:rPr>
          <w:rFonts w:eastAsia="Calibri"/>
        </w:rPr>
        <w:t>2019, mặc dù tỷ lệ thất nghiệp của lao động trong độ tuổi thấp ở cả khu vực thành thị và nông thôn, nhưng tỷ lệ thất nghiệp của thanh thanh niên (từ 15-24 tuổi) lại cao, đặc biệt ở khu vực thành thị, xấp xỉ 11% (Biểu 2). Bên cạnh đó, tỷ lệ lao động có việc làm phi chính thức ngoài hộ nông, lâm nghiệp, thủy sản rất cao, chiếm hơn một nửa lực lượng lao động trong độ tuổi.</w:t>
      </w:r>
    </w:p>
    <w:p w14:paraId="1B66B349" w14:textId="2D078DB9" w:rsidR="008C1F7A" w:rsidRPr="00301868" w:rsidRDefault="008C1F7A" w:rsidP="008C1F7A">
      <w:pPr>
        <w:spacing w:after="0" w:line="240" w:lineRule="auto"/>
        <w:ind w:firstLine="0"/>
        <w:jc w:val="center"/>
        <w:rPr>
          <w:rFonts w:eastAsia="Calibri"/>
          <w:b/>
        </w:rPr>
      </w:pPr>
      <w:r w:rsidRPr="00301868">
        <w:rPr>
          <w:rFonts w:eastAsia="Calibri"/>
          <w:b/>
        </w:rPr>
        <w:t>Biểu 2. Tình hình thất nghiệp và việc làm khu vực phi chính thức                                  giai đoạn 2016</w:t>
      </w:r>
      <w:r w:rsidR="0011242D" w:rsidRPr="00301868">
        <w:rPr>
          <w:rFonts w:eastAsia="Calibri"/>
          <w:b/>
        </w:rPr>
        <w:t xml:space="preserve"> </w:t>
      </w:r>
      <w:r w:rsidRPr="00301868">
        <w:rPr>
          <w:rFonts w:eastAsia="Calibri"/>
          <w:b/>
        </w:rPr>
        <w:t>-</w:t>
      </w:r>
      <w:r w:rsidR="0011242D" w:rsidRPr="00301868">
        <w:rPr>
          <w:rFonts w:eastAsia="Calibri"/>
          <w:b/>
        </w:rPr>
        <w:t xml:space="preserve"> </w:t>
      </w:r>
      <w:r w:rsidRPr="00301868">
        <w:rPr>
          <w:rFonts w:eastAsia="Calibri"/>
          <w:b/>
        </w:rPr>
        <w:t>2019</w:t>
      </w:r>
    </w:p>
    <w:p w14:paraId="4DF8C6DE" w14:textId="77777777" w:rsidR="008C1F7A" w:rsidRPr="00301868" w:rsidRDefault="008C1F7A" w:rsidP="008C1F7A">
      <w:pPr>
        <w:spacing w:before="120" w:after="0" w:line="240" w:lineRule="auto"/>
        <w:ind w:firstLine="0"/>
        <w:jc w:val="right"/>
        <w:rPr>
          <w:rFonts w:eastAsia="Calibri"/>
          <w:sz w:val="24"/>
          <w:szCs w:val="24"/>
          <w:lang w:val="en-US"/>
        </w:rPr>
      </w:pPr>
      <w:r w:rsidRPr="00301868">
        <w:rPr>
          <w:rFonts w:eastAsia="Calibri"/>
          <w:i/>
          <w:sz w:val="24"/>
          <w:szCs w:val="24"/>
          <w:lang w:val="en-US"/>
        </w:rPr>
        <w:t>Đơn vị tính:  %</w:t>
      </w:r>
    </w:p>
    <w:tbl>
      <w:tblPr>
        <w:tblStyle w:val="TableGrid1"/>
        <w:tblW w:w="0" w:type="auto"/>
        <w:tblInd w:w="1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384"/>
        <w:gridCol w:w="1155"/>
        <w:gridCol w:w="1155"/>
        <w:gridCol w:w="1155"/>
        <w:gridCol w:w="1241"/>
      </w:tblGrid>
      <w:tr w:rsidR="008C1F7A" w:rsidRPr="00301868" w14:paraId="38AD249B" w14:textId="77777777" w:rsidTr="00CB18DF">
        <w:tc>
          <w:tcPr>
            <w:tcW w:w="4500" w:type="dxa"/>
            <w:tcBorders>
              <w:bottom w:val="single" w:sz="8" w:space="0" w:color="auto"/>
              <w:right w:val="single" w:sz="8" w:space="0" w:color="auto"/>
            </w:tcBorders>
          </w:tcPr>
          <w:p w14:paraId="5BF21A33" w14:textId="77777777" w:rsidR="008C1F7A" w:rsidRPr="00301868" w:rsidRDefault="008C1F7A" w:rsidP="008C1F7A">
            <w:pPr>
              <w:spacing w:before="60" w:after="60" w:line="240" w:lineRule="auto"/>
              <w:ind w:firstLine="0"/>
              <w:rPr>
                <w:rFonts w:ascii="Times New Roman" w:hAnsi="Times New Roman"/>
                <w:sz w:val="26"/>
                <w:szCs w:val="26"/>
                <w:lang w:val="en-US"/>
              </w:rPr>
            </w:pPr>
          </w:p>
        </w:tc>
        <w:tc>
          <w:tcPr>
            <w:tcW w:w="1170" w:type="dxa"/>
            <w:tcBorders>
              <w:top w:val="single" w:sz="12" w:space="0" w:color="auto"/>
              <w:left w:val="single" w:sz="8" w:space="0" w:color="auto"/>
              <w:bottom w:val="single" w:sz="8" w:space="0" w:color="auto"/>
              <w:right w:val="single" w:sz="8" w:space="0" w:color="auto"/>
            </w:tcBorders>
          </w:tcPr>
          <w:p w14:paraId="71E3F16A" w14:textId="77777777" w:rsidR="008C1F7A" w:rsidRPr="00301868" w:rsidRDefault="008C1F7A" w:rsidP="008C1F7A">
            <w:pPr>
              <w:spacing w:before="60" w:after="60" w:line="240" w:lineRule="auto"/>
              <w:ind w:firstLine="0"/>
              <w:jc w:val="center"/>
              <w:rPr>
                <w:rFonts w:ascii="Times New Roman" w:hAnsi="Times New Roman"/>
                <w:b/>
                <w:sz w:val="26"/>
                <w:szCs w:val="26"/>
                <w:lang w:val="en-US"/>
              </w:rPr>
            </w:pPr>
            <w:r w:rsidRPr="00301868">
              <w:rPr>
                <w:rFonts w:ascii="Times New Roman" w:hAnsi="Times New Roman"/>
                <w:b/>
                <w:sz w:val="26"/>
                <w:szCs w:val="26"/>
                <w:lang w:val="en-US"/>
              </w:rPr>
              <w:t>2016</w:t>
            </w:r>
          </w:p>
        </w:tc>
        <w:tc>
          <w:tcPr>
            <w:tcW w:w="1170" w:type="dxa"/>
            <w:tcBorders>
              <w:left w:val="single" w:sz="8" w:space="0" w:color="auto"/>
              <w:bottom w:val="single" w:sz="8" w:space="0" w:color="auto"/>
              <w:right w:val="single" w:sz="8" w:space="0" w:color="auto"/>
            </w:tcBorders>
          </w:tcPr>
          <w:p w14:paraId="50B15602" w14:textId="77777777" w:rsidR="008C1F7A" w:rsidRPr="00301868" w:rsidRDefault="008C1F7A" w:rsidP="008C1F7A">
            <w:pPr>
              <w:spacing w:before="60" w:after="60" w:line="240" w:lineRule="auto"/>
              <w:ind w:firstLine="0"/>
              <w:jc w:val="center"/>
              <w:rPr>
                <w:rFonts w:ascii="Times New Roman" w:hAnsi="Times New Roman"/>
                <w:b/>
                <w:sz w:val="26"/>
                <w:szCs w:val="26"/>
                <w:lang w:val="en-US"/>
              </w:rPr>
            </w:pPr>
            <w:r w:rsidRPr="00301868">
              <w:rPr>
                <w:rFonts w:ascii="Times New Roman" w:hAnsi="Times New Roman"/>
                <w:b/>
                <w:sz w:val="26"/>
                <w:szCs w:val="26"/>
                <w:lang w:val="en-US"/>
              </w:rPr>
              <w:t>2017</w:t>
            </w:r>
          </w:p>
        </w:tc>
        <w:tc>
          <w:tcPr>
            <w:tcW w:w="1170" w:type="dxa"/>
            <w:tcBorders>
              <w:top w:val="single" w:sz="12" w:space="0" w:color="auto"/>
              <w:left w:val="single" w:sz="8" w:space="0" w:color="auto"/>
              <w:bottom w:val="single" w:sz="8" w:space="0" w:color="auto"/>
              <w:right w:val="single" w:sz="8" w:space="0" w:color="auto"/>
            </w:tcBorders>
          </w:tcPr>
          <w:p w14:paraId="3E3D7726" w14:textId="77777777" w:rsidR="008C1F7A" w:rsidRPr="00301868" w:rsidRDefault="008C1F7A" w:rsidP="008C1F7A">
            <w:pPr>
              <w:spacing w:before="60" w:after="60" w:line="240" w:lineRule="auto"/>
              <w:ind w:firstLine="0"/>
              <w:jc w:val="center"/>
              <w:rPr>
                <w:rFonts w:ascii="Times New Roman" w:hAnsi="Times New Roman"/>
                <w:b/>
                <w:sz w:val="26"/>
                <w:szCs w:val="26"/>
                <w:lang w:val="en-US"/>
              </w:rPr>
            </w:pPr>
            <w:r w:rsidRPr="00301868">
              <w:rPr>
                <w:rFonts w:ascii="Times New Roman" w:hAnsi="Times New Roman"/>
                <w:b/>
                <w:sz w:val="26"/>
                <w:szCs w:val="26"/>
                <w:lang w:val="en-US"/>
              </w:rPr>
              <w:t>2018</w:t>
            </w:r>
          </w:p>
        </w:tc>
        <w:tc>
          <w:tcPr>
            <w:tcW w:w="1260" w:type="dxa"/>
            <w:tcBorders>
              <w:left w:val="single" w:sz="8" w:space="0" w:color="auto"/>
              <w:bottom w:val="single" w:sz="8" w:space="0" w:color="auto"/>
            </w:tcBorders>
          </w:tcPr>
          <w:p w14:paraId="5710C046" w14:textId="77777777" w:rsidR="008C1F7A" w:rsidRPr="00301868" w:rsidRDefault="008C1F7A" w:rsidP="008C1F7A">
            <w:pPr>
              <w:spacing w:before="60" w:after="60" w:line="240" w:lineRule="auto"/>
              <w:ind w:firstLine="0"/>
              <w:jc w:val="center"/>
              <w:rPr>
                <w:rFonts w:ascii="Times New Roman" w:hAnsi="Times New Roman"/>
                <w:b/>
                <w:sz w:val="26"/>
                <w:szCs w:val="26"/>
                <w:lang w:val="en-US"/>
              </w:rPr>
            </w:pPr>
            <w:r w:rsidRPr="00301868">
              <w:rPr>
                <w:rFonts w:ascii="Times New Roman" w:hAnsi="Times New Roman"/>
                <w:b/>
                <w:sz w:val="26"/>
                <w:szCs w:val="26"/>
                <w:lang w:val="en-US"/>
              </w:rPr>
              <w:t>2019</w:t>
            </w:r>
          </w:p>
        </w:tc>
      </w:tr>
      <w:tr w:rsidR="008C1F7A" w:rsidRPr="00301868" w14:paraId="025B71C7" w14:textId="77777777" w:rsidTr="00CB18DF">
        <w:tc>
          <w:tcPr>
            <w:tcW w:w="4500" w:type="dxa"/>
            <w:tcBorders>
              <w:top w:val="single" w:sz="8" w:space="0" w:color="auto"/>
              <w:bottom w:val="dotted" w:sz="4" w:space="0" w:color="auto"/>
              <w:right w:val="single" w:sz="8" w:space="0" w:color="auto"/>
            </w:tcBorders>
          </w:tcPr>
          <w:p w14:paraId="65622CB7" w14:textId="77777777" w:rsidR="008C1F7A" w:rsidRPr="00301868" w:rsidRDefault="008C1F7A" w:rsidP="008C1F7A">
            <w:pPr>
              <w:spacing w:before="60" w:after="60" w:line="240" w:lineRule="auto"/>
              <w:ind w:firstLine="0"/>
              <w:rPr>
                <w:rFonts w:ascii="Times New Roman" w:hAnsi="Times New Roman"/>
                <w:b/>
                <w:sz w:val="26"/>
                <w:szCs w:val="26"/>
              </w:rPr>
            </w:pPr>
            <w:r w:rsidRPr="00301868">
              <w:rPr>
                <w:rFonts w:ascii="Times New Roman" w:hAnsi="Times New Roman"/>
                <w:b/>
                <w:sz w:val="26"/>
                <w:szCs w:val="26"/>
              </w:rPr>
              <w:t>Tỷ lệ thất nghiệp của lao động trong độ tuổi</w:t>
            </w:r>
          </w:p>
        </w:tc>
        <w:tc>
          <w:tcPr>
            <w:tcW w:w="1170" w:type="dxa"/>
            <w:tcBorders>
              <w:top w:val="single" w:sz="8" w:space="0" w:color="auto"/>
              <w:left w:val="single" w:sz="8" w:space="0" w:color="auto"/>
              <w:bottom w:val="dotted" w:sz="4" w:space="0" w:color="auto"/>
              <w:right w:val="single" w:sz="8" w:space="0" w:color="auto"/>
            </w:tcBorders>
          </w:tcPr>
          <w:p w14:paraId="025A6397" w14:textId="77777777" w:rsidR="008C1F7A" w:rsidRPr="00301868" w:rsidRDefault="008C1F7A" w:rsidP="008C1F7A">
            <w:pPr>
              <w:spacing w:before="18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2,30</w:t>
            </w:r>
          </w:p>
        </w:tc>
        <w:tc>
          <w:tcPr>
            <w:tcW w:w="1170" w:type="dxa"/>
            <w:tcBorders>
              <w:top w:val="single" w:sz="8" w:space="0" w:color="auto"/>
              <w:left w:val="single" w:sz="8" w:space="0" w:color="auto"/>
              <w:bottom w:val="dotted" w:sz="4" w:space="0" w:color="auto"/>
              <w:right w:val="single" w:sz="8" w:space="0" w:color="auto"/>
            </w:tcBorders>
          </w:tcPr>
          <w:p w14:paraId="60AB5C0A" w14:textId="77777777" w:rsidR="008C1F7A" w:rsidRPr="00301868" w:rsidRDefault="008C1F7A" w:rsidP="008C1F7A">
            <w:pPr>
              <w:spacing w:before="18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2,24</w:t>
            </w:r>
          </w:p>
        </w:tc>
        <w:tc>
          <w:tcPr>
            <w:tcW w:w="1170" w:type="dxa"/>
            <w:tcBorders>
              <w:top w:val="single" w:sz="8" w:space="0" w:color="auto"/>
              <w:left w:val="single" w:sz="8" w:space="0" w:color="auto"/>
              <w:bottom w:val="dotted" w:sz="4" w:space="0" w:color="auto"/>
              <w:right w:val="single" w:sz="8" w:space="0" w:color="auto"/>
            </w:tcBorders>
          </w:tcPr>
          <w:p w14:paraId="28F6D0B7" w14:textId="77777777" w:rsidR="008C1F7A" w:rsidRPr="00301868" w:rsidRDefault="008C1F7A" w:rsidP="008C1F7A">
            <w:pPr>
              <w:spacing w:before="18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2,19</w:t>
            </w:r>
          </w:p>
        </w:tc>
        <w:tc>
          <w:tcPr>
            <w:tcW w:w="1260" w:type="dxa"/>
            <w:tcBorders>
              <w:top w:val="single" w:sz="8" w:space="0" w:color="auto"/>
              <w:left w:val="single" w:sz="8" w:space="0" w:color="auto"/>
              <w:bottom w:val="dotted" w:sz="4" w:space="0" w:color="auto"/>
            </w:tcBorders>
          </w:tcPr>
          <w:p w14:paraId="1FB1C83C" w14:textId="77777777" w:rsidR="008C1F7A" w:rsidRPr="00301868" w:rsidRDefault="008C1F7A" w:rsidP="008C1F7A">
            <w:pPr>
              <w:spacing w:before="18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2,16</w:t>
            </w:r>
          </w:p>
        </w:tc>
      </w:tr>
      <w:tr w:rsidR="008C1F7A" w:rsidRPr="00301868" w14:paraId="577422E2" w14:textId="77777777" w:rsidTr="00CB18DF">
        <w:tc>
          <w:tcPr>
            <w:tcW w:w="4500" w:type="dxa"/>
            <w:tcBorders>
              <w:top w:val="dotted" w:sz="4" w:space="0" w:color="auto"/>
              <w:bottom w:val="dotted" w:sz="4" w:space="0" w:color="auto"/>
              <w:right w:val="single" w:sz="8" w:space="0" w:color="auto"/>
            </w:tcBorders>
          </w:tcPr>
          <w:p w14:paraId="092899D1" w14:textId="77777777" w:rsidR="008C1F7A" w:rsidRPr="00301868" w:rsidRDefault="008C1F7A" w:rsidP="008C1F7A">
            <w:pPr>
              <w:numPr>
                <w:ilvl w:val="0"/>
                <w:numId w:val="13"/>
              </w:numPr>
              <w:spacing w:before="60" w:after="60" w:line="240" w:lineRule="auto"/>
              <w:contextualSpacing/>
              <w:jc w:val="center"/>
              <w:rPr>
                <w:rFonts w:ascii="Times New Roman" w:hAnsi="Times New Roman"/>
                <w:i/>
                <w:sz w:val="26"/>
                <w:szCs w:val="26"/>
                <w:lang w:val="en-US"/>
              </w:rPr>
            </w:pPr>
            <w:r w:rsidRPr="00301868">
              <w:rPr>
                <w:rFonts w:ascii="Times New Roman" w:hAnsi="Times New Roman"/>
                <w:i/>
                <w:sz w:val="26"/>
                <w:szCs w:val="26"/>
                <w:lang w:val="en-US"/>
              </w:rPr>
              <w:t>Khu vực thành thị</w:t>
            </w:r>
          </w:p>
        </w:tc>
        <w:tc>
          <w:tcPr>
            <w:tcW w:w="1170" w:type="dxa"/>
            <w:tcBorders>
              <w:top w:val="dotted" w:sz="4" w:space="0" w:color="auto"/>
              <w:left w:val="single" w:sz="8" w:space="0" w:color="auto"/>
              <w:bottom w:val="dotted" w:sz="4" w:space="0" w:color="auto"/>
              <w:right w:val="single" w:sz="8" w:space="0" w:color="auto"/>
            </w:tcBorders>
          </w:tcPr>
          <w:p w14:paraId="75A19515"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3,18</w:t>
            </w:r>
          </w:p>
        </w:tc>
        <w:tc>
          <w:tcPr>
            <w:tcW w:w="1170" w:type="dxa"/>
            <w:tcBorders>
              <w:top w:val="dotted" w:sz="4" w:space="0" w:color="auto"/>
              <w:left w:val="single" w:sz="8" w:space="0" w:color="auto"/>
              <w:bottom w:val="dotted" w:sz="4" w:space="0" w:color="auto"/>
              <w:right w:val="single" w:sz="8" w:space="0" w:color="auto"/>
            </w:tcBorders>
          </w:tcPr>
          <w:p w14:paraId="52E13344"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3,18</w:t>
            </w:r>
          </w:p>
        </w:tc>
        <w:tc>
          <w:tcPr>
            <w:tcW w:w="1170" w:type="dxa"/>
            <w:tcBorders>
              <w:top w:val="dotted" w:sz="4" w:space="0" w:color="auto"/>
              <w:left w:val="single" w:sz="8" w:space="0" w:color="auto"/>
              <w:bottom w:val="dotted" w:sz="4" w:space="0" w:color="auto"/>
              <w:right w:val="single" w:sz="8" w:space="0" w:color="auto"/>
            </w:tcBorders>
          </w:tcPr>
          <w:p w14:paraId="247890F2"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3,1</w:t>
            </w:r>
          </w:p>
        </w:tc>
        <w:tc>
          <w:tcPr>
            <w:tcW w:w="1260" w:type="dxa"/>
            <w:tcBorders>
              <w:top w:val="dotted" w:sz="4" w:space="0" w:color="auto"/>
              <w:left w:val="single" w:sz="8" w:space="0" w:color="auto"/>
              <w:bottom w:val="dotted" w:sz="4" w:space="0" w:color="auto"/>
            </w:tcBorders>
          </w:tcPr>
          <w:p w14:paraId="405D5434"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3,10</w:t>
            </w:r>
          </w:p>
        </w:tc>
      </w:tr>
      <w:tr w:rsidR="008C1F7A" w:rsidRPr="00301868" w14:paraId="44176676" w14:textId="77777777" w:rsidTr="00CB18DF">
        <w:tc>
          <w:tcPr>
            <w:tcW w:w="4500" w:type="dxa"/>
            <w:tcBorders>
              <w:top w:val="dotted" w:sz="4" w:space="0" w:color="auto"/>
              <w:bottom w:val="single" w:sz="8" w:space="0" w:color="auto"/>
              <w:right w:val="single" w:sz="8" w:space="0" w:color="auto"/>
            </w:tcBorders>
          </w:tcPr>
          <w:p w14:paraId="1D6B29B2" w14:textId="77777777" w:rsidR="008C1F7A" w:rsidRPr="00301868" w:rsidRDefault="008C1F7A" w:rsidP="008C1F7A">
            <w:pPr>
              <w:numPr>
                <w:ilvl w:val="0"/>
                <w:numId w:val="13"/>
              </w:numPr>
              <w:spacing w:before="60" w:after="60" w:line="240" w:lineRule="auto"/>
              <w:contextualSpacing/>
              <w:jc w:val="center"/>
              <w:rPr>
                <w:rFonts w:ascii="Times New Roman" w:hAnsi="Times New Roman"/>
                <w:i/>
                <w:sz w:val="26"/>
                <w:szCs w:val="26"/>
                <w:lang w:val="en-US"/>
              </w:rPr>
            </w:pPr>
            <w:r w:rsidRPr="00301868">
              <w:rPr>
                <w:rFonts w:ascii="Times New Roman" w:hAnsi="Times New Roman"/>
                <w:i/>
                <w:sz w:val="26"/>
                <w:szCs w:val="26"/>
                <w:lang w:val="en-US"/>
              </w:rPr>
              <w:t>Khu vực nông thôn</w:t>
            </w:r>
          </w:p>
        </w:tc>
        <w:tc>
          <w:tcPr>
            <w:tcW w:w="1170" w:type="dxa"/>
            <w:tcBorders>
              <w:top w:val="dotted" w:sz="4" w:space="0" w:color="auto"/>
              <w:left w:val="single" w:sz="8" w:space="0" w:color="auto"/>
              <w:bottom w:val="single" w:sz="8" w:space="0" w:color="auto"/>
              <w:right w:val="single" w:sz="8" w:space="0" w:color="auto"/>
            </w:tcBorders>
          </w:tcPr>
          <w:p w14:paraId="332B533A"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1,86</w:t>
            </w:r>
          </w:p>
        </w:tc>
        <w:tc>
          <w:tcPr>
            <w:tcW w:w="1170" w:type="dxa"/>
            <w:tcBorders>
              <w:top w:val="dotted" w:sz="4" w:space="0" w:color="auto"/>
              <w:left w:val="single" w:sz="8" w:space="0" w:color="auto"/>
              <w:bottom w:val="single" w:sz="8" w:space="0" w:color="auto"/>
              <w:right w:val="single" w:sz="8" w:space="0" w:color="auto"/>
            </w:tcBorders>
          </w:tcPr>
          <w:p w14:paraId="2024AF70"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1,78</w:t>
            </w:r>
          </w:p>
        </w:tc>
        <w:tc>
          <w:tcPr>
            <w:tcW w:w="1170" w:type="dxa"/>
            <w:tcBorders>
              <w:top w:val="dotted" w:sz="4" w:space="0" w:color="auto"/>
              <w:left w:val="single" w:sz="8" w:space="0" w:color="auto"/>
              <w:bottom w:val="single" w:sz="8" w:space="0" w:color="auto"/>
              <w:right w:val="single" w:sz="8" w:space="0" w:color="auto"/>
            </w:tcBorders>
          </w:tcPr>
          <w:p w14:paraId="3A6B2D96"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1,7</w:t>
            </w:r>
          </w:p>
        </w:tc>
        <w:tc>
          <w:tcPr>
            <w:tcW w:w="1260" w:type="dxa"/>
            <w:tcBorders>
              <w:top w:val="dotted" w:sz="4" w:space="0" w:color="auto"/>
              <w:left w:val="single" w:sz="8" w:space="0" w:color="auto"/>
              <w:bottom w:val="single" w:sz="8" w:space="0" w:color="auto"/>
            </w:tcBorders>
          </w:tcPr>
          <w:p w14:paraId="3CC09B6D"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1,65</w:t>
            </w:r>
          </w:p>
        </w:tc>
      </w:tr>
      <w:tr w:rsidR="008C1F7A" w:rsidRPr="00301868" w14:paraId="7F192FC1" w14:textId="77777777" w:rsidTr="00CB18DF">
        <w:tc>
          <w:tcPr>
            <w:tcW w:w="4500" w:type="dxa"/>
            <w:tcBorders>
              <w:top w:val="single" w:sz="8" w:space="0" w:color="auto"/>
              <w:bottom w:val="dotted" w:sz="4" w:space="0" w:color="auto"/>
              <w:right w:val="single" w:sz="8" w:space="0" w:color="auto"/>
            </w:tcBorders>
          </w:tcPr>
          <w:p w14:paraId="50C289BE" w14:textId="77777777" w:rsidR="008C1F7A" w:rsidRPr="00301868" w:rsidRDefault="008C1F7A" w:rsidP="008C1F7A">
            <w:pPr>
              <w:spacing w:before="60" w:after="60" w:line="240" w:lineRule="auto"/>
              <w:ind w:firstLine="0"/>
              <w:rPr>
                <w:rFonts w:ascii="Times New Roman" w:hAnsi="Times New Roman"/>
                <w:b/>
                <w:sz w:val="26"/>
                <w:szCs w:val="26"/>
              </w:rPr>
            </w:pPr>
            <w:r w:rsidRPr="00301868">
              <w:rPr>
                <w:rFonts w:ascii="Times New Roman" w:hAnsi="Times New Roman"/>
                <w:b/>
                <w:sz w:val="26"/>
                <w:szCs w:val="26"/>
              </w:rPr>
              <w:t xml:space="preserve">Tỷ lệ thất nghiệp của thanh niên </w:t>
            </w:r>
            <w:r w:rsidRPr="00301868">
              <w:rPr>
                <w:rFonts w:ascii="Times New Roman" w:hAnsi="Times New Roman"/>
                <w:b/>
                <w:i/>
                <w:sz w:val="26"/>
                <w:szCs w:val="26"/>
              </w:rPr>
              <w:t xml:space="preserve">(từ </w:t>
            </w:r>
            <w:r w:rsidRPr="00301868">
              <w:rPr>
                <w:rFonts w:ascii="Times New Roman" w:hAnsi="Times New Roman"/>
                <w:b/>
                <w:i/>
                <w:sz w:val="26"/>
                <w:szCs w:val="26"/>
              </w:rPr>
              <w:lastRenderedPageBreak/>
              <w:t>15-24 tuổi)</w:t>
            </w:r>
          </w:p>
        </w:tc>
        <w:tc>
          <w:tcPr>
            <w:tcW w:w="1170" w:type="dxa"/>
            <w:tcBorders>
              <w:top w:val="single" w:sz="8" w:space="0" w:color="auto"/>
              <w:left w:val="single" w:sz="8" w:space="0" w:color="auto"/>
              <w:bottom w:val="dotted" w:sz="4" w:space="0" w:color="auto"/>
              <w:right w:val="single" w:sz="8" w:space="0" w:color="auto"/>
            </w:tcBorders>
          </w:tcPr>
          <w:p w14:paraId="522B25CC" w14:textId="77777777" w:rsidR="008C1F7A" w:rsidRPr="00301868" w:rsidRDefault="008C1F7A" w:rsidP="008C1F7A">
            <w:pPr>
              <w:spacing w:before="18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lastRenderedPageBreak/>
              <w:t>7,34</w:t>
            </w:r>
          </w:p>
        </w:tc>
        <w:tc>
          <w:tcPr>
            <w:tcW w:w="1170" w:type="dxa"/>
            <w:tcBorders>
              <w:top w:val="single" w:sz="8" w:space="0" w:color="auto"/>
              <w:left w:val="single" w:sz="8" w:space="0" w:color="auto"/>
              <w:bottom w:val="dotted" w:sz="4" w:space="0" w:color="auto"/>
              <w:right w:val="single" w:sz="8" w:space="0" w:color="auto"/>
            </w:tcBorders>
          </w:tcPr>
          <w:p w14:paraId="5C55F2E7" w14:textId="77777777" w:rsidR="008C1F7A" w:rsidRPr="00301868" w:rsidRDefault="008C1F7A" w:rsidP="008C1F7A">
            <w:pPr>
              <w:spacing w:before="18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7,51</w:t>
            </w:r>
          </w:p>
        </w:tc>
        <w:tc>
          <w:tcPr>
            <w:tcW w:w="1170" w:type="dxa"/>
            <w:tcBorders>
              <w:top w:val="single" w:sz="8" w:space="0" w:color="auto"/>
              <w:left w:val="single" w:sz="8" w:space="0" w:color="auto"/>
              <w:bottom w:val="dotted" w:sz="4" w:space="0" w:color="auto"/>
              <w:right w:val="single" w:sz="8" w:space="0" w:color="auto"/>
            </w:tcBorders>
          </w:tcPr>
          <w:p w14:paraId="6854620E" w14:textId="77777777" w:rsidR="008C1F7A" w:rsidRPr="00301868" w:rsidRDefault="008C1F7A" w:rsidP="008C1F7A">
            <w:pPr>
              <w:spacing w:before="18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7,06</w:t>
            </w:r>
          </w:p>
        </w:tc>
        <w:tc>
          <w:tcPr>
            <w:tcW w:w="1260" w:type="dxa"/>
            <w:tcBorders>
              <w:top w:val="single" w:sz="8" w:space="0" w:color="auto"/>
              <w:left w:val="single" w:sz="8" w:space="0" w:color="auto"/>
              <w:bottom w:val="dotted" w:sz="4" w:space="0" w:color="auto"/>
            </w:tcBorders>
          </w:tcPr>
          <w:p w14:paraId="0842A0A3" w14:textId="77777777" w:rsidR="008C1F7A" w:rsidRPr="00301868" w:rsidRDefault="008C1F7A" w:rsidP="008C1F7A">
            <w:pPr>
              <w:spacing w:before="18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6,39</w:t>
            </w:r>
          </w:p>
        </w:tc>
      </w:tr>
      <w:tr w:rsidR="008C1F7A" w:rsidRPr="00301868" w14:paraId="197D86A0" w14:textId="77777777" w:rsidTr="00CB18DF">
        <w:tc>
          <w:tcPr>
            <w:tcW w:w="4500" w:type="dxa"/>
            <w:tcBorders>
              <w:top w:val="dotted" w:sz="4" w:space="0" w:color="auto"/>
              <w:bottom w:val="dotted" w:sz="4" w:space="0" w:color="auto"/>
              <w:right w:val="single" w:sz="8" w:space="0" w:color="auto"/>
            </w:tcBorders>
          </w:tcPr>
          <w:p w14:paraId="0449F534" w14:textId="77777777" w:rsidR="008C1F7A" w:rsidRPr="00301868" w:rsidRDefault="008C1F7A" w:rsidP="008C1F7A">
            <w:pPr>
              <w:numPr>
                <w:ilvl w:val="0"/>
                <w:numId w:val="13"/>
              </w:numPr>
              <w:spacing w:before="60" w:after="60" w:line="240" w:lineRule="auto"/>
              <w:contextualSpacing/>
              <w:jc w:val="center"/>
              <w:rPr>
                <w:rFonts w:ascii="Times New Roman" w:hAnsi="Times New Roman"/>
                <w:i/>
                <w:sz w:val="26"/>
                <w:szCs w:val="26"/>
                <w:lang w:val="en-US"/>
              </w:rPr>
            </w:pPr>
            <w:r w:rsidRPr="00301868">
              <w:rPr>
                <w:rFonts w:ascii="Times New Roman" w:hAnsi="Times New Roman"/>
                <w:i/>
                <w:sz w:val="26"/>
                <w:szCs w:val="26"/>
                <w:lang w:val="en-US"/>
              </w:rPr>
              <w:lastRenderedPageBreak/>
              <w:t>Khu vực thành thị</w:t>
            </w:r>
          </w:p>
        </w:tc>
        <w:tc>
          <w:tcPr>
            <w:tcW w:w="1170" w:type="dxa"/>
            <w:tcBorders>
              <w:top w:val="dotted" w:sz="4" w:space="0" w:color="auto"/>
              <w:left w:val="single" w:sz="8" w:space="0" w:color="auto"/>
              <w:bottom w:val="dotted" w:sz="4" w:space="0" w:color="auto"/>
              <w:right w:val="single" w:sz="8" w:space="0" w:color="auto"/>
            </w:tcBorders>
          </w:tcPr>
          <w:p w14:paraId="2450898F"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11,30</w:t>
            </w:r>
          </w:p>
        </w:tc>
        <w:tc>
          <w:tcPr>
            <w:tcW w:w="1170" w:type="dxa"/>
            <w:tcBorders>
              <w:top w:val="dotted" w:sz="4" w:space="0" w:color="auto"/>
              <w:left w:val="single" w:sz="8" w:space="0" w:color="auto"/>
              <w:bottom w:val="dotted" w:sz="4" w:space="0" w:color="auto"/>
              <w:right w:val="single" w:sz="8" w:space="0" w:color="auto"/>
            </w:tcBorders>
          </w:tcPr>
          <w:p w14:paraId="40B9F93B"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11,75</w:t>
            </w:r>
          </w:p>
        </w:tc>
        <w:tc>
          <w:tcPr>
            <w:tcW w:w="1170" w:type="dxa"/>
            <w:tcBorders>
              <w:top w:val="dotted" w:sz="4" w:space="0" w:color="auto"/>
              <w:left w:val="single" w:sz="8" w:space="0" w:color="auto"/>
              <w:bottom w:val="dotted" w:sz="4" w:space="0" w:color="auto"/>
              <w:right w:val="single" w:sz="8" w:space="0" w:color="auto"/>
            </w:tcBorders>
          </w:tcPr>
          <w:p w14:paraId="399B34CF"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10,56</w:t>
            </w:r>
          </w:p>
        </w:tc>
        <w:tc>
          <w:tcPr>
            <w:tcW w:w="1260" w:type="dxa"/>
            <w:tcBorders>
              <w:top w:val="dotted" w:sz="4" w:space="0" w:color="auto"/>
              <w:left w:val="single" w:sz="8" w:space="0" w:color="auto"/>
              <w:bottom w:val="dotted" w:sz="4" w:space="0" w:color="auto"/>
            </w:tcBorders>
          </w:tcPr>
          <w:p w14:paraId="1245C404"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10,24</w:t>
            </w:r>
          </w:p>
        </w:tc>
      </w:tr>
      <w:tr w:rsidR="008C1F7A" w:rsidRPr="00301868" w14:paraId="52F15B6E" w14:textId="77777777" w:rsidTr="00CB18DF">
        <w:tc>
          <w:tcPr>
            <w:tcW w:w="4500" w:type="dxa"/>
            <w:tcBorders>
              <w:top w:val="dotted" w:sz="4" w:space="0" w:color="auto"/>
              <w:bottom w:val="single" w:sz="8" w:space="0" w:color="auto"/>
              <w:right w:val="single" w:sz="8" w:space="0" w:color="auto"/>
            </w:tcBorders>
          </w:tcPr>
          <w:p w14:paraId="7FA2724D" w14:textId="77777777" w:rsidR="008C1F7A" w:rsidRPr="00301868" w:rsidRDefault="008C1F7A" w:rsidP="008C1F7A">
            <w:pPr>
              <w:numPr>
                <w:ilvl w:val="0"/>
                <w:numId w:val="13"/>
              </w:numPr>
              <w:spacing w:before="60" w:after="60" w:line="240" w:lineRule="auto"/>
              <w:contextualSpacing/>
              <w:jc w:val="center"/>
              <w:rPr>
                <w:rFonts w:ascii="Times New Roman" w:hAnsi="Times New Roman"/>
                <w:i/>
                <w:sz w:val="26"/>
                <w:szCs w:val="26"/>
                <w:lang w:val="en-US"/>
              </w:rPr>
            </w:pPr>
            <w:r w:rsidRPr="00301868">
              <w:rPr>
                <w:rFonts w:ascii="Times New Roman" w:hAnsi="Times New Roman"/>
                <w:i/>
                <w:sz w:val="26"/>
                <w:szCs w:val="26"/>
                <w:lang w:val="en-US"/>
              </w:rPr>
              <w:t>Khu vực nông thôn</w:t>
            </w:r>
          </w:p>
        </w:tc>
        <w:tc>
          <w:tcPr>
            <w:tcW w:w="1170" w:type="dxa"/>
            <w:tcBorders>
              <w:top w:val="dotted" w:sz="4" w:space="0" w:color="auto"/>
              <w:left w:val="single" w:sz="8" w:space="0" w:color="auto"/>
              <w:bottom w:val="single" w:sz="8" w:space="0" w:color="auto"/>
              <w:right w:val="single" w:sz="8" w:space="0" w:color="auto"/>
            </w:tcBorders>
          </w:tcPr>
          <w:p w14:paraId="1607ED6F"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5,74</w:t>
            </w:r>
          </w:p>
        </w:tc>
        <w:tc>
          <w:tcPr>
            <w:tcW w:w="1170" w:type="dxa"/>
            <w:tcBorders>
              <w:top w:val="dotted" w:sz="4" w:space="0" w:color="auto"/>
              <w:left w:val="single" w:sz="8" w:space="0" w:color="auto"/>
              <w:bottom w:val="single" w:sz="8" w:space="0" w:color="auto"/>
              <w:right w:val="single" w:sz="8" w:space="0" w:color="auto"/>
            </w:tcBorders>
          </w:tcPr>
          <w:p w14:paraId="492C7FBC"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5,87</w:t>
            </w:r>
          </w:p>
        </w:tc>
        <w:tc>
          <w:tcPr>
            <w:tcW w:w="1170" w:type="dxa"/>
            <w:tcBorders>
              <w:top w:val="dotted" w:sz="4" w:space="0" w:color="auto"/>
              <w:left w:val="single" w:sz="8" w:space="0" w:color="auto"/>
              <w:bottom w:val="single" w:sz="8" w:space="0" w:color="auto"/>
              <w:right w:val="single" w:sz="8" w:space="0" w:color="auto"/>
            </w:tcBorders>
          </w:tcPr>
          <w:p w14:paraId="4B2D22EB"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5,73</w:t>
            </w:r>
          </w:p>
        </w:tc>
        <w:tc>
          <w:tcPr>
            <w:tcW w:w="1260" w:type="dxa"/>
            <w:tcBorders>
              <w:top w:val="dotted" w:sz="4" w:space="0" w:color="auto"/>
              <w:left w:val="single" w:sz="8" w:space="0" w:color="auto"/>
              <w:bottom w:val="single" w:sz="8" w:space="0" w:color="auto"/>
            </w:tcBorders>
          </w:tcPr>
          <w:p w14:paraId="1DA16020"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4,83</w:t>
            </w:r>
          </w:p>
        </w:tc>
      </w:tr>
      <w:tr w:rsidR="008C1F7A" w:rsidRPr="00301868" w14:paraId="7433B80A" w14:textId="77777777" w:rsidTr="00CB18DF">
        <w:tc>
          <w:tcPr>
            <w:tcW w:w="4500" w:type="dxa"/>
            <w:tcBorders>
              <w:top w:val="single" w:sz="8" w:space="0" w:color="auto"/>
              <w:bottom w:val="dotted" w:sz="4" w:space="0" w:color="auto"/>
              <w:right w:val="single" w:sz="8" w:space="0" w:color="auto"/>
            </w:tcBorders>
          </w:tcPr>
          <w:p w14:paraId="104D6075" w14:textId="77777777" w:rsidR="008C1F7A" w:rsidRPr="00301868" w:rsidRDefault="008C1F7A" w:rsidP="008C1F7A">
            <w:pPr>
              <w:spacing w:before="60" w:after="60" w:line="240" w:lineRule="auto"/>
              <w:ind w:firstLine="0"/>
              <w:rPr>
                <w:rFonts w:ascii="Times New Roman" w:hAnsi="Times New Roman"/>
                <w:b/>
                <w:sz w:val="26"/>
                <w:szCs w:val="26"/>
              </w:rPr>
            </w:pPr>
            <w:r w:rsidRPr="00301868">
              <w:rPr>
                <w:rFonts w:ascii="Times New Roman" w:hAnsi="Times New Roman"/>
                <w:b/>
                <w:sz w:val="26"/>
                <w:szCs w:val="26"/>
              </w:rPr>
              <w:t>Tỷ lệ lao động có việc làm phi chính thức ngoài hộ nông, lâm nghiệp, thủy sản</w:t>
            </w:r>
          </w:p>
        </w:tc>
        <w:tc>
          <w:tcPr>
            <w:tcW w:w="1170" w:type="dxa"/>
            <w:tcBorders>
              <w:top w:val="single" w:sz="8" w:space="0" w:color="auto"/>
              <w:left w:val="single" w:sz="8" w:space="0" w:color="auto"/>
              <w:bottom w:val="dotted" w:sz="4" w:space="0" w:color="auto"/>
              <w:right w:val="single" w:sz="8" w:space="0" w:color="auto"/>
            </w:tcBorders>
          </w:tcPr>
          <w:p w14:paraId="037A25A6" w14:textId="77777777" w:rsidR="008C1F7A" w:rsidRPr="00301868" w:rsidRDefault="008C1F7A" w:rsidP="008C1F7A">
            <w:pPr>
              <w:spacing w:before="30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55,9</w:t>
            </w:r>
          </w:p>
        </w:tc>
        <w:tc>
          <w:tcPr>
            <w:tcW w:w="1170" w:type="dxa"/>
            <w:tcBorders>
              <w:top w:val="single" w:sz="8" w:space="0" w:color="auto"/>
              <w:left w:val="single" w:sz="8" w:space="0" w:color="auto"/>
              <w:bottom w:val="dotted" w:sz="4" w:space="0" w:color="auto"/>
              <w:right w:val="single" w:sz="8" w:space="0" w:color="auto"/>
            </w:tcBorders>
          </w:tcPr>
          <w:p w14:paraId="00030D2D" w14:textId="77777777" w:rsidR="008C1F7A" w:rsidRPr="00301868" w:rsidRDefault="008C1F7A" w:rsidP="008C1F7A">
            <w:pPr>
              <w:spacing w:before="30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57,2</w:t>
            </w:r>
          </w:p>
        </w:tc>
        <w:tc>
          <w:tcPr>
            <w:tcW w:w="1170" w:type="dxa"/>
            <w:tcBorders>
              <w:top w:val="single" w:sz="8" w:space="0" w:color="auto"/>
              <w:left w:val="single" w:sz="8" w:space="0" w:color="auto"/>
              <w:bottom w:val="dotted" w:sz="4" w:space="0" w:color="auto"/>
              <w:right w:val="single" w:sz="8" w:space="0" w:color="auto"/>
            </w:tcBorders>
          </w:tcPr>
          <w:p w14:paraId="101D2FD9" w14:textId="77777777" w:rsidR="008C1F7A" w:rsidRPr="00301868" w:rsidRDefault="008C1F7A" w:rsidP="008C1F7A">
            <w:pPr>
              <w:spacing w:before="30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56,2</w:t>
            </w:r>
          </w:p>
        </w:tc>
        <w:tc>
          <w:tcPr>
            <w:tcW w:w="1260" w:type="dxa"/>
            <w:tcBorders>
              <w:top w:val="single" w:sz="8" w:space="0" w:color="auto"/>
              <w:left w:val="single" w:sz="8" w:space="0" w:color="auto"/>
              <w:bottom w:val="dotted" w:sz="4" w:space="0" w:color="auto"/>
            </w:tcBorders>
          </w:tcPr>
          <w:p w14:paraId="4AC149A9" w14:textId="77777777" w:rsidR="008C1F7A" w:rsidRPr="00301868" w:rsidRDefault="008C1F7A" w:rsidP="008C1F7A">
            <w:pPr>
              <w:spacing w:before="300" w:after="0" w:line="240" w:lineRule="auto"/>
              <w:ind w:firstLine="0"/>
              <w:jc w:val="right"/>
              <w:rPr>
                <w:rFonts w:ascii="Times New Roman" w:hAnsi="Times New Roman"/>
                <w:b/>
                <w:sz w:val="26"/>
                <w:szCs w:val="26"/>
                <w:lang w:val="en-US"/>
              </w:rPr>
            </w:pPr>
            <w:r w:rsidRPr="00301868">
              <w:rPr>
                <w:rFonts w:ascii="Times New Roman" w:hAnsi="Times New Roman"/>
                <w:b/>
                <w:sz w:val="26"/>
                <w:szCs w:val="26"/>
                <w:lang w:val="en-US"/>
              </w:rPr>
              <w:t>54,6</w:t>
            </w:r>
          </w:p>
        </w:tc>
      </w:tr>
      <w:tr w:rsidR="008C1F7A" w:rsidRPr="00301868" w14:paraId="66657C8B" w14:textId="77777777" w:rsidTr="00CB18DF">
        <w:tc>
          <w:tcPr>
            <w:tcW w:w="4500" w:type="dxa"/>
            <w:tcBorders>
              <w:top w:val="dotted" w:sz="4" w:space="0" w:color="auto"/>
              <w:bottom w:val="dotted" w:sz="4" w:space="0" w:color="auto"/>
              <w:right w:val="single" w:sz="8" w:space="0" w:color="auto"/>
            </w:tcBorders>
          </w:tcPr>
          <w:p w14:paraId="7F283F7B" w14:textId="77777777" w:rsidR="008C1F7A" w:rsidRPr="00301868" w:rsidRDefault="008C1F7A" w:rsidP="008C1F7A">
            <w:pPr>
              <w:numPr>
                <w:ilvl w:val="0"/>
                <w:numId w:val="13"/>
              </w:numPr>
              <w:spacing w:before="60" w:after="60" w:line="240" w:lineRule="auto"/>
              <w:contextualSpacing/>
              <w:jc w:val="center"/>
              <w:rPr>
                <w:rFonts w:ascii="Times New Roman" w:hAnsi="Times New Roman"/>
                <w:i/>
                <w:sz w:val="26"/>
                <w:szCs w:val="26"/>
                <w:lang w:val="en-US"/>
              </w:rPr>
            </w:pPr>
            <w:r w:rsidRPr="00301868">
              <w:rPr>
                <w:rFonts w:ascii="Times New Roman" w:hAnsi="Times New Roman"/>
                <w:i/>
                <w:sz w:val="26"/>
                <w:szCs w:val="26"/>
                <w:lang w:val="en-US"/>
              </w:rPr>
              <w:t>Khu vực thành thị</w:t>
            </w:r>
          </w:p>
        </w:tc>
        <w:tc>
          <w:tcPr>
            <w:tcW w:w="1170" w:type="dxa"/>
            <w:tcBorders>
              <w:top w:val="dotted" w:sz="4" w:space="0" w:color="auto"/>
              <w:left w:val="single" w:sz="8" w:space="0" w:color="auto"/>
              <w:bottom w:val="dotted" w:sz="4" w:space="0" w:color="auto"/>
              <w:right w:val="single" w:sz="8" w:space="0" w:color="auto"/>
            </w:tcBorders>
          </w:tcPr>
          <w:p w14:paraId="46184898"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47,0</w:t>
            </w:r>
          </w:p>
        </w:tc>
        <w:tc>
          <w:tcPr>
            <w:tcW w:w="1170" w:type="dxa"/>
            <w:tcBorders>
              <w:top w:val="dotted" w:sz="4" w:space="0" w:color="auto"/>
              <w:left w:val="single" w:sz="8" w:space="0" w:color="auto"/>
              <w:bottom w:val="dotted" w:sz="4" w:space="0" w:color="auto"/>
              <w:right w:val="single" w:sz="8" w:space="0" w:color="auto"/>
            </w:tcBorders>
          </w:tcPr>
          <w:p w14:paraId="2CA5D340"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48,8</w:t>
            </w:r>
          </w:p>
        </w:tc>
        <w:tc>
          <w:tcPr>
            <w:tcW w:w="1170" w:type="dxa"/>
            <w:tcBorders>
              <w:top w:val="dotted" w:sz="4" w:space="0" w:color="auto"/>
              <w:left w:val="single" w:sz="8" w:space="0" w:color="auto"/>
              <w:bottom w:val="dotted" w:sz="4" w:space="0" w:color="auto"/>
              <w:right w:val="single" w:sz="8" w:space="0" w:color="auto"/>
            </w:tcBorders>
          </w:tcPr>
          <w:p w14:paraId="70A60488"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48,1</w:t>
            </w:r>
          </w:p>
        </w:tc>
        <w:tc>
          <w:tcPr>
            <w:tcW w:w="1260" w:type="dxa"/>
            <w:tcBorders>
              <w:top w:val="dotted" w:sz="4" w:space="0" w:color="auto"/>
              <w:left w:val="single" w:sz="8" w:space="0" w:color="auto"/>
              <w:bottom w:val="dotted" w:sz="4" w:space="0" w:color="auto"/>
            </w:tcBorders>
          </w:tcPr>
          <w:p w14:paraId="2C08BDC8"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46,3</w:t>
            </w:r>
          </w:p>
        </w:tc>
      </w:tr>
      <w:tr w:rsidR="008C1F7A" w:rsidRPr="00301868" w14:paraId="3830C9D0" w14:textId="77777777" w:rsidTr="00CB18DF">
        <w:tc>
          <w:tcPr>
            <w:tcW w:w="4500" w:type="dxa"/>
            <w:tcBorders>
              <w:top w:val="dotted" w:sz="4" w:space="0" w:color="auto"/>
              <w:bottom w:val="single" w:sz="12" w:space="0" w:color="auto"/>
              <w:right w:val="single" w:sz="8" w:space="0" w:color="auto"/>
            </w:tcBorders>
          </w:tcPr>
          <w:p w14:paraId="5E67C6FF" w14:textId="77777777" w:rsidR="008C1F7A" w:rsidRPr="00301868" w:rsidRDefault="008C1F7A" w:rsidP="008C1F7A">
            <w:pPr>
              <w:numPr>
                <w:ilvl w:val="0"/>
                <w:numId w:val="13"/>
              </w:numPr>
              <w:spacing w:before="60" w:after="60" w:line="240" w:lineRule="auto"/>
              <w:contextualSpacing/>
              <w:jc w:val="center"/>
              <w:rPr>
                <w:rFonts w:ascii="Times New Roman" w:hAnsi="Times New Roman"/>
                <w:i/>
                <w:sz w:val="26"/>
                <w:szCs w:val="26"/>
                <w:lang w:val="en-US"/>
              </w:rPr>
            </w:pPr>
            <w:r w:rsidRPr="00301868">
              <w:rPr>
                <w:rFonts w:ascii="Times New Roman" w:hAnsi="Times New Roman"/>
                <w:i/>
                <w:sz w:val="26"/>
                <w:szCs w:val="26"/>
                <w:lang w:val="en-US"/>
              </w:rPr>
              <w:t>Khu vực nông thôn</w:t>
            </w:r>
          </w:p>
        </w:tc>
        <w:tc>
          <w:tcPr>
            <w:tcW w:w="1170" w:type="dxa"/>
            <w:tcBorders>
              <w:top w:val="dotted" w:sz="4" w:space="0" w:color="auto"/>
              <w:left w:val="single" w:sz="8" w:space="0" w:color="auto"/>
              <w:bottom w:val="single" w:sz="12" w:space="0" w:color="auto"/>
              <w:right w:val="single" w:sz="8" w:space="0" w:color="auto"/>
            </w:tcBorders>
          </w:tcPr>
          <w:p w14:paraId="4E4A110F"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64,1</w:t>
            </w:r>
          </w:p>
        </w:tc>
        <w:tc>
          <w:tcPr>
            <w:tcW w:w="1170" w:type="dxa"/>
            <w:tcBorders>
              <w:top w:val="dotted" w:sz="4" w:space="0" w:color="auto"/>
              <w:left w:val="single" w:sz="8" w:space="0" w:color="auto"/>
              <w:bottom w:val="single" w:sz="12" w:space="0" w:color="auto"/>
              <w:right w:val="single" w:sz="8" w:space="0" w:color="auto"/>
            </w:tcBorders>
          </w:tcPr>
          <w:p w14:paraId="0A7D3FEC"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64,5</w:t>
            </w:r>
          </w:p>
        </w:tc>
        <w:tc>
          <w:tcPr>
            <w:tcW w:w="1170" w:type="dxa"/>
            <w:tcBorders>
              <w:top w:val="dotted" w:sz="4" w:space="0" w:color="auto"/>
              <w:left w:val="single" w:sz="8" w:space="0" w:color="auto"/>
              <w:bottom w:val="single" w:sz="12" w:space="0" w:color="auto"/>
              <w:right w:val="single" w:sz="8" w:space="0" w:color="auto"/>
            </w:tcBorders>
          </w:tcPr>
          <w:p w14:paraId="020A018D"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62,9</w:t>
            </w:r>
          </w:p>
        </w:tc>
        <w:tc>
          <w:tcPr>
            <w:tcW w:w="1260" w:type="dxa"/>
            <w:tcBorders>
              <w:top w:val="dotted" w:sz="4" w:space="0" w:color="auto"/>
              <w:left w:val="single" w:sz="8" w:space="0" w:color="auto"/>
              <w:bottom w:val="single" w:sz="12" w:space="0" w:color="auto"/>
            </w:tcBorders>
          </w:tcPr>
          <w:p w14:paraId="54EA3645" w14:textId="77777777" w:rsidR="008C1F7A" w:rsidRPr="00301868" w:rsidRDefault="008C1F7A" w:rsidP="008C1F7A">
            <w:pPr>
              <w:spacing w:before="60" w:after="60" w:line="240" w:lineRule="auto"/>
              <w:ind w:firstLine="0"/>
              <w:jc w:val="right"/>
              <w:rPr>
                <w:rFonts w:ascii="Times New Roman" w:hAnsi="Times New Roman"/>
                <w:i/>
                <w:sz w:val="26"/>
                <w:szCs w:val="26"/>
                <w:lang w:val="en-US"/>
              </w:rPr>
            </w:pPr>
            <w:r w:rsidRPr="00301868">
              <w:rPr>
                <w:rFonts w:ascii="Times New Roman" w:hAnsi="Times New Roman"/>
                <w:i/>
                <w:sz w:val="26"/>
                <w:szCs w:val="26"/>
                <w:lang w:val="en-US"/>
              </w:rPr>
              <w:t>61,7</w:t>
            </w:r>
          </w:p>
        </w:tc>
      </w:tr>
    </w:tbl>
    <w:p w14:paraId="42BB0BC0" w14:textId="77777777" w:rsidR="008C1F7A" w:rsidRPr="00301868" w:rsidRDefault="008C1F7A" w:rsidP="008C1F7A">
      <w:pPr>
        <w:spacing w:before="120" w:after="0" w:line="240" w:lineRule="auto"/>
        <w:ind w:firstLine="0"/>
        <w:jc w:val="left"/>
        <w:rPr>
          <w:rFonts w:eastAsia="Calibri"/>
          <w:sz w:val="24"/>
          <w:szCs w:val="24"/>
        </w:rPr>
      </w:pPr>
      <w:r w:rsidRPr="00301868">
        <w:rPr>
          <w:rFonts w:eastAsia="Calibri"/>
          <w:i/>
          <w:sz w:val="24"/>
          <w:szCs w:val="24"/>
        </w:rPr>
        <w:t>Nguồn</w:t>
      </w:r>
      <w:r w:rsidRPr="00301868">
        <w:rPr>
          <w:rFonts w:eastAsia="Calibri"/>
          <w:sz w:val="24"/>
          <w:szCs w:val="24"/>
        </w:rPr>
        <w:t xml:space="preserve">: </w:t>
      </w:r>
      <w:r w:rsidRPr="00301868">
        <w:rPr>
          <w:rFonts w:eastAsia="Calibri"/>
          <w:sz w:val="24"/>
          <w:szCs w:val="24"/>
        </w:rPr>
        <w:tab/>
        <w:t xml:space="preserve">Tổng cục Thống kê. </w:t>
      </w:r>
      <w:r w:rsidRPr="00301868">
        <w:rPr>
          <w:rFonts w:eastAsia="Calibri"/>
          <w:i/>
          <w:sz w:val="24"/>
          <w:szCs w:val="24"/>
        </w:rPr>
        <w:t>Niên giám thống kê 2018</w:t>
      </w:r>
      <w:r w:rsidRPr="00301868">
        <w:rPr>
          <w:rFonts w:eastAsia="Calibri"/>
          <w:sz w:val="24"/>
          <w:szCs w:val="24"/>
        </w:rPr>
        <w:t>. Hà Nội 2019.</w:t>
      </w:r>
    </w:p>
    <w:p w14:paraId="1CBEA0C4" w14:textId="77777777" w:rsidR="008C1F7A" w:rsidRPr="00301868" w:rsidRDefault="008C1F7A" w:rsidP="008C1F7A">
      <w:pPr>
        <w:spacing w:before="40" w:after="0" w:line="240" w:lineRule="auto"/>
        <w:ind w:firstLine="0"/>
        <w:rPr>
          <w:rFonts w:eastAsia="Calibri"/>
          <w:sz w:val="24"/>
          <w:szCs w:val="24"/>
        </w:rPr>
      </w:pPr>
      <w:r w:rsidRPr="00301868">
        <w:rPr>
          <w:rFonts w:eastAsia="Calibri"/>
          <w:sz w:val="24"/>
          <w:szCs w:val="24"/>
        </w:rPr>
        <w:tab/>
      </w:r>
      <w:r w:rsidRPr="00301868">
        <w:rPr>
          <w:rFonts w:eastAsia="Calibri"/>
          <w:sz w:val="24"/>
          <w:szCs w:val="24"/>
        </w:rPr>
        <w:tab/>
        <w:t xml:space="preserve">Tổng cục Thống kê. </w:t>
      </w:r>
      <w:r w:rsidRPr="00301868">
        <w:rPr>
          <w:rFonts w:eastAsia="Calibri"/>
          <w:i/>
          <w:sz w:val="24"/>
          <w:szCs w:val="24"/>
        </w:rPr>
        <w:t>Số liệu thống kê chủ yếu 2019</w:t>
      </w:r>
      <w:r w:rsidRPr="00301868">
        <w:rPr>
          <w:rFonts w:eastAsia="Calibri"/>
          <w:sz w:val="24"/>
          <w:szCs w:val="24"/>
        </w:rPr>
        <w:t>. Hà Nội 2019.</w:t>
      </w:r>
    </w:p>
    <w:p w14:paraId="582A34C7" w14:textId="77777777" w:rsidR="008C1F7A" w:rsidRPr="00301868" w:rsidRDefault="008C1F7A" w:rsidP="008C1F7A">
      <w:pPr>
        <w:spacing w:after="0" w:line="240" w:lineRule="auto"/>
        <w:ind w:firstLine="0"/>
        <w:rPr>
          <w:rFonts w:eastAsia="Calibri"/>
          <w:sz w:val="24"/>
          <w:szCs w:val="24"/>
        </w:rPr>
      </w:pPr>
    </w:p>
    <w:p w14:paraId="66378B42" w14:textId="77777777" w:rsidR="008C1F7A" w:rsidRPr="00301868" w:rsidRDefault="008C1F7A" w:rsidP="005C6DED">
      <w:pPr>
        <w:rPr>
          <w:rFonts w:eastAsia="Calibri"/>
        </w:rPr>
      </w:pPr>
      <w:r w:rsidRPr="00301868">
        <w:rPr>
          <w:rFonts w:eastAsia="Calibri"/>
        </w:rPr>
        <w:t xml:space="preserve">Những con số này cho thấy, mặc dù Luật BHXH 2014 đã mở ra cơ hội cho tất cả mọi người đều có thể tham gia BHXH, nhưng những nhóm đối tượng cần tập trung quan tâm như lao động trẻ, lao động khu vực phi chính thức chiếm tỷ trọng lớn trong lực lượng lao động lại rất hạn chế về khả năng tài chính để tham gia BHXH nếu không có sự hỗ trợ họ trong đóng góp. </w:t>
      </w:r>
    </w:p>
    <w:p w14:paraId="4B833F16" w14:textId="1C7191DE" w:rsidR="008C1F7A" w:rsidRPr="00301868" w:rsidRDefault="008C1F7A" w:rsidP="005C6DED">
      <w:pPr>
        <w:pStyle w:val="Heading3"/>
        <w:rPr>
          <w:rFonts w:eastAsia="Calibri"/>
        </w:rPr>
      </w:pPr>
      <w:bookmarkStart w:id="5" w:name="_Toc63186674"/>
      <w:r w:rsidRPr="00301868">
        <w:rPr>
          <w:rFonts w:eastAsia="Calibri"/>
        </w:rPr>
        <w:t>1.3</w:t>
      </w:r>
      <w:r w:rsidR="005C6DED" w:rsidRPr="00301868">
        <w:rPr>
          <w:rFonts w:eastAsia="Calibri"/>
        </w:rPr>
        <w:t>.</w:t>
      </w:r>
      <w:r w:rsidRPr="00301868">
        <w:rPr>
          <w:rFonts w:eastAsia="Calibri"/>
        </w:rPr>
        <w:t xml:space="preserve"> Về những thay đổi trong pháp luật lao động có liên quan</w:t>
      </w:r>
      <w:bookmarkEnd w:id="5"/>
      <w:r w:rsidRPr="00301868">
        <w:rPr>
          <w:rFonts w:eastAsia="Calibri"/>
        </w:rPr>
        <w:t xml:space="preserve"> </w:t>
      </w:r>
    </w:p>
    <w:p w14:paraId="03CA5F91" w14:textId="77777777" w:rsidR="008C1F7A" w:rsidRPr="00301868" w:rsidRDefault="008C1F7A" w:rsidP="005C6DED">
      <w:pPr>
        <w:rPr>
          <w:rFonts w:eastAsia="Calibri"/>
        </w:rPr>
      </w:pPr>
      <w:r w:rsidRPr="00301868">
        <w:rPr>
          <w:rFonts w:eastAsia="Calibri"/>
        </w:rPr>
        <w:t>Phạm vi điều chỉnh của Luật BHXH 2014 đã thu hẹp khi Luật Việc làm 2013 điều chỉnh chế độ bảo hiểm thất nghiệp và Luật An toàn vệ sinh lao động 2015 điều chỉnh các chế độ tai nạn lao động và bệnh nghề nghiệp.Bên cạnh đó Luật Bảo hiểm y tế 2014 sửa đổi, bổ sung một số điều của Luật Bảo hiểm y tế 2008 đã có một bước ngoặt quan trọng khi quy định “Bảo hiểm y tế là hình thức bảo hiểm bắt buộc”</w:t>
      </w:r>
      <w:r w:rsidRPr="00301868">
        <w:rPr>
          <w:rFonts w:eastAsia="Calibri"/>
          <w:vertAlign w:val="superscript"/>
          <w:lang w:val="en-US"/>
        </w:rPr>
        <w:footnoteReference w:id="2"/>
      </w:r>
      <w:r w:rsidRPr="00301868">
        <w:rPr>
          <w:rFonts w:eastAsia="Calibri"/>
        </w:rPr>
        <w:t>. Đây là một yếu tốt then chốt để phát triển đối tượng tham gia và đạt được một độ bao phủ ước tính 89,8%</w:t>
      </w:r>
      <w:r w:rsidRPr="00301868">
        <w:rPr>
          <w:rFonts w:eastAsia="Calibri"/>
          <w:vertAlign w:val="superscript"/>
          <w:lang w:val="en-US"/>
        </w:rPr>
        <w:footnoteReference w:id="3"/>
      </w:r>
      <w:r w:rsidRPr="00301868">
        <w:rPr>
          <w:rFonts w:eastAsia="Calibri"/>
        </w:rPr>
        <w:t xml:space="preserve"> dân số vào năm 2019 trên cơ sở mở rộng đối tượng do ngân sách nhà nước hỗ trợ và mở rộng phạm vi quyền lợi. Trong khi đó Luật BHXH 2014 vẫn tiếp tục quy định BHXH bắt buộc và BHXH tự nguyện với hai chế độ là hưu trí và tử tuất và không bao gồm các chế độ ngắn hạn như ốm đau và thai sản. Điều này đã tạo nên sự khác biệt lớn giữa BHXH bắt buộc và BHXH tự nguyện mà Luật BHXH 2014 điều chỉnh. Những tác động của sự khác biệt này sẽ được phân tích cụ thể hơn ở các mục bên dưới.</w:t>
      </w:r>
    </w:p>
    <w:p w14:paraId="55FE9631" w14:textId="77777777" w:rsidR="008C1F7A" w:rsidRPr="00301868" w:rsidRDefault="008C1F7A" w:rsidP="005C6DED">
      <w:pPr>
        <w:pStyle w:val="Heading2"/>
        <w:rPr>
          <w:rFonts w:eastAsia="Calibri"/>
        </w:rPr>
      </w:pPr>
      <w:bookmarkStart w:id="6" w:name="_Toc63186675"/>
      <w:r w:rsidRPr="00301868">
        <w:rPr>
          <w:rFonts w:eastAsia="Calibri"/>
        </w:rPr>
        <w:t>II. NHỮNG THUẬN LỢI, KHÓ KHĂN GẮN VỚI THỰC HIỆN CHÍNH SÁCH AN SINH XÃ HỘI NÓI CHUNG VÀ BẢO HIỂM XÃ HỘI NÓI RIÊNG</w:t>
      </w:r>
      <w:bookmarkEnd w:id="6"/>
    </w:p>
    <w:p w14:paraId="56FAFA60" w14:textId="344B5B01" w:rsidR="008C1F7A" w:rsidRPr="00301868" w:rsidRDefault="008C1F7A" w:rsidP="005C6DED">
      <w:pPr>
        <w:pStyle w:val="Heading3"/>
        <w:rPr>
          <w:rFonts w:eastAsia="Calibri"/>
        </w:rPr>
      </w:pPr>
      <w:bookmarkStart w:id="7" w:name="_Toc63186676"/>
      <w:r w:rsidRPr="00301868">
        <w:rPr>
          <w:rFonts w:eastAsia="Calibri"/>
        </w:rPr>
        <w:t>2.1</w:t>
      </w:r>
      <w:r w:rsidR="00D61181" w:rsidRPr="00301868">
        <w:rPr>
          <w:rFonts w:eastAsia="Calibri"/>
        </w:rPr>
        <w:t>.</w:t>
      </w:r>
      <w:r w:rsidRPr="00301868">
        <w:rPr>
          <w:rFonts w:eastAsia="Calibri"/>
        </w:rPr>
        <w:t xml:space="preserve"> Những thuận lợi</w:t>
      </w:r>
      <w:bookmarkEnd w:id="7"/>
    </w:p>
    <w:p w14:paraId="1B9528A5" w14:textId="77777777" w:rsidR="008C1F7A" w:rsidRPr="00301868" w:rsidRDefault="008C1F7A" w:rsidP="005C6DED">
      <w:pPr>
        <w:rPr>
          <w:rFonts w:eastAsia="Calibri"/>
        </w:rPr>
      </w:pPr>
      <w:r w:rsidRPr="00301868">
        <w:rPr>
          <w:rFonts w:eastAsia="Calibri"/>
        </w:rPr>
        <w:t xml:space="preserve">- Hệ thống pháp luật về an sinh xã hội nói chung và BHXH nói riêng khá toàn diện và phù hợp, tương đồng với thông lệ quốc tế, bao gồm các chính sách bảo hiểm xã hội với các chế độ ốm đau, thai sản, tai nạn lao động và bệnh nghề </w:t>
      </w:r>
      <w:r w:rsidRPr="00301868">
        <w:rPr>
          <w:rFonts w:eastAsia="Calibri"/>
        </w:rPr>
        <w:lastRenderedPageBreak/>
        <w:t xml:space="preserve">nghiệp, thất nghiệp, hưu trí và tử tuất; bảo hiểm y tế; và các chế độ trợ giúp xã hội đối với những nhóm yếu thế trong xã hội như trẻ em, người khuyết tật và người cao tuổi. </w:t>
      </w:r>
    </w:p>
    <w:p w14:paraId="27003F18" w14:textId="1DCEA085" w:rsidR="008C1F7A" w:rsidRPr="00301868" w:rsidRDefault="008C1F7A" w:rsidP="005C6DED">
      <w:pPr>
        <w:rPr>
          <w:rFonts w:eastAsia="Calibri"/>
        </w:rPr>
      </w:pPr>
      <w:r w:rsidRPr="00301868">
        <w:rPr>
          <w:rFonts w:eastAsia="Calibri"/>
        </w:rPr>
        <w:t>- Luật Bảo hiể</w:t>
      </w:r>
      <w:r w:rsidR="009404C2" w:rsidRPr="00301868">
        <w:rPr>
          <w:rFonts w:eastAsia="Calibri"/>
        </w:rPr>
        <w:t>m y</w:t>
      </w:r>
      <w:r w:rsidRPr="00301868">
        <w:rPr>
          <w:rFonts w:eastAsia="Calibri"/>
        </w:rPr>
        <w:t xml:space="preserve"> tế </w:t>
      </w:r>
      <w:r w:rsidR="009404C2" w:rsidRPr="00301868">
        <w:rPr>
          <w:rFonts w:eastAsia="Calibri"/>
        </w:rPr>
        <w:t xml:space="preserve">năm </w:t>
      </w:r>
      <w:r w:rsidRPr="00301868">
        <w:rPr>
          <w:rFonts w:eastAsia="Calibri"/>
        </w:rPr>
        <w:t xml:space="preserve">2008 và Luật sửa đổi, bổ sung một số Điều của Luật Bảo hiểm </w:t>
      </w:r>
      <w:r w:rsidR="009404C2" w:rsidRPr="00301868">
        <w:rPr>
          <w:rFonts w:eastAsia="Calibri"/>
        </w:rPr>
        <w:t>y</w:t>
      </w:r>
      <w:r w:rsidRPr="00301868">
        <w:rPr>
          <w:rFonts w:eastAsia="Calibri"/>
        </w:rPr>
        <w:t xml:space="preserve"> tế </w:t>
      </w:r>
      <w:r w:rsidR="009404C2" w:rsidRPr="00301868">
        <w:rPr>
          <w:rFonts w:eastAsia="Calibri"/>
        </w:rPr>
        <w:t xml:space="preserve">năm </w:t>
      </w:r>
      <w:r w:rsidRPr="00301868">
        <w:rPr>
          <w:rFonts w:eastAsia="Calibri"/>
        </w:rPr>
        <w:t>2014 đảm bảo kinh phí toàn phần hoặc một phần cho các khoản đóng bảo hiểm y tế của các nhóm dễ bị tổn thương, từ đó hỗ trợ hiệu quả về thu hẹp khoảng trống trong diện bao phủ bảo hiểm y tế và nhanh chóng đạt được xấp xỉ 90% dân số. Đây rõ ràng là một thành công lớn và kinh nghiệm để mở rộng diện bao phủ của loại hình bảo hiểm xã hội tự nguyện thuộc phạm vi điều chỉnh của pháp luật bảo hiểm xã hội.</w:t>
      </w:r>
    </w:p>
    <w:p w14:paraId="2C078B4D" w14:textId="1622A3E3" w:rsidR="008C1F7A" w:rsidRPr="00301868" w:rsidRDefault="008C1F7A" w:rsidP="005C6DED">
      <w:pPr>
        <w:rPr>
          <w:rFonts w:eastAsia="Calibri"/>
        </w:rPr>
      </w:pPr>
      <w:r w:rsidRPr="00301868">
        <w:rPr>
          <w:rFonts w:eastAsia="Calibri"/>
        </w:rPr>
        <w:t xml:space="preserve"> - Sự phát triển kinh tế và tỷ lệ tăng trưởng ổn định trong suốt giai đoạn 2016</w:t>
      </w:r>
      <w:r w:rsidR="009F63D8" w:rsidRPr="00301868">
        <w:rPr>
          <w:rFonts w:eastAsia="Calibri"/>
        </w:rPr>
        <w:t xml:space="preserve"> </w:t>
      </w:r>
      <w:r w:rsidR="00CB18DF" w:rsidRPr="00301868">
        <w:rPr>
          <w:rFonts w:eastAsia="Calibri"/>
        </w:rPr>
        <w:t>-</w:t>
      </w:r>
      <w:r w:rsidR="009F63D8" w:rsidRPr="00301868">
        <w:rPr>
          <w:rFonts w:eastAsia="Calibri"/>
        </w:rPr>
        <w:t xml:space="preserve"> </w:t>
      </w:r>
      <w:r w:rsidRPr="00301868">
        <w:rPr>
          <w:rFonts w:eastAsia="Calibri"/>
        </w:rPr>
        <w:t>20</w:t>
      </w:r>
      <w:r w:rsidR="009F63D8" w:rsidRPr="00301868">
        <w:rPr>
          <w:rFonts w:eastAsia="Calibri"/>
        </w:rPr>
        <w:t xml:space="preserve">20 </w:t>
      </w:r>
      <w:r w:rsidRPr="00301868">
        <w:rPr>
          <w:rFonts w:eastAsia="Calibri"/>
        </w:rPr>
        <w:t xml:space="preserve">đóng một vai trò quan trọng tạo nên cơ sở vững chắc cho việc cải cách chính sách an sinh xã hội trong đó có bảo hiểm xã hội. </w:t>
      </w:r>
    </w:p>
    <w:p w14:paraId="67093C7A" w14:textId="7B59A754" w:rsidR="008C1F7A" w:rsidRPr="00301868" w:rsidRDefault="008C1F7A" w:rsidP="005C6DED">
      <w:pPr>
        <w:rPr>
          <w:rFonts w:eastAsia="Calibri"/>
        </w:rPr>
      </w:pPr>
      <w:r w:rsidRPr="00301868">
        <w:rPr>
          <w:rFonts w:eastAsia="Calibri"/>
        </w:rPr>
        <w:t>- Đảm bảo bình đẳng giới cũng như đảm bảo cân đối quỹ hưu trí và tử tuất. Bộ luật Lao động 2019 đã</w:t>
      </w:r>
      <w:r w:rsidR="002873C2" w:rsidRPr="00301868">
        <w:rPr>
          <w:rFonts w:eastAsia="Calibri"/>
        </w:rPr>
        <w:t xml:space="preserve"> quy định điều chỉnh</w:t>
      </w:r>
      <w:r w:rsidRPr="00301868">
        <w:rPr>
          <w:rFonts w:eastAsia="Calibri"/>
        </w:rPr>
        <w:t xml:space="preserve"> tuổi nghỉ hưu</w:t>
      </w:r>
      <w:r w:rsidR="002873C2" w:rsidRPr="00301868">
        <w:rPr>
          <w:rFonts w:eastAsia="Calibri"/>
        </w:rPr>
        <w:t xml:space="preserve"> chung</w:t>
      </w:r>
      <w:r w:rsidRPr="00301868">
        <w:rPr>
          <w:rFonts w:eastAsia="Calibri"/>
        </w:rPr>
        <w:t xml:space="preserve"> và thu hẹp khoảng cách thụ hưởng chế độ hưu trí và tử tuất giữa phụ nữ và nam giới từ 5 năm (55</w:t>
      </w:r>
      <w:r w:rsidR="00070894" w:rsidRPr="00301868">
        <w:rPr>
          <w:rFonts w:eastAsia="Calibri"/>
        </w:rPr>
        <w:t xml:space="preserve"> </w:t>
      </w:r>
      <w:r w:rsidRPr="00301868">
        <w:rPr>
          <w:rFonts w:eastAsia="Calibri"/>
        </w:rPr>
        <w:t>-</w:t>
      </w:r>
      <w:r w:rsidR="00070894" w:rsidRPr="00301868">
        <w:rPr>
          <w:rFonts w:eastAsia="Calibri"/>
        </w:rPr>
        <w:t xml:space="preserve"> </w:t>
      </w:r>
      <w:r w:rsidRPr="00301868">
        <w:rPr>
          <w:rFonts w:eastAsia="Calibri"/>
        </w:rPr>
        <w:t>60 tuổi) xuống còn 2 năm (60</w:t>
      </w:r>
      <w:r w:rsidR="00D918EF" w:rsidRPr="00301868">
        <w:rPr>
          <w:rFonts w:eastAsia="Calibri"/>
        </w:rPr>
        <w:t xml:space="preserve"> </w:t>
      </w:r>
      <w:r w:rsidRPr="00301868">
        <w:rPr>
          <w:rFonts w:eastAsia="Calibri"/>
        </w:rPr>
        <w:t>-</w:t>
      </w:r>
      <w:r w:rsidR="00D918EF" w:rsidRPr="00301868">
        <w:rPr>
          <w:rFonts w:eastAsia="Calibri"/>
        </w:rPr>
        <w:t xml:space="preserve"> </w:t>
      </w:r>
      <w:r w:rsidRPr="00301868">
        <w:rPr>
          <w:rFonts w:eastAsia="Calibri"/>
        </w:rPr>
        <w:t xml:space="preserve">62 tuổi). Đây là cơ sở để sửa đổi và điều chỉnh rất nhiều tham số trong thiết kế các chính sách BHXH nói riêng và an sinh xã hội nói chung. </w:t>
      </w:r>
    </w:p>
    <w:p w14:paraId="154CEF45" w14:textId="33BB63BB" w:rsidR="008C1F7A" w:rsidRPr="00301868" w:rsidRDefault="008C1F7A" w:rsidP="005C6DED">
      <w:pPr>
        <w:rPr>
          <w:rFonts w:eastAsia="Calibri"/>
        </w:rPr>
      </w:pPr>
      <w:r w:rsidRPr="00301868">
        <w:rPr>
          <w:rFonts w:eastAsia="Calibri"/>
        </w:rPr>
        <w:t xml:space="preserve">- Mô hình quản lý và thực hiện chính sách BHXH ở Việt Nam được hình thành, phát triển và hoàn thiện qua một chặng đường dài. Với một mạng lưới rộng khắp ở cả 3 cấp </w:t>
      </w:r>
      <w:r w:rsidR="00CB18DF" w:rsidRPr="00301868">
        <w:rPr>
          <w:rFonts w:eastAsia="Calibri"/>
        </w:rPr>
        <w:t>-</w:t>
      </w:r>
      <w:r w:rsidRPr="00301868">
        <w:rPr>
          <w:rFonts w:eastAsia="Calibri"/>
        </w:rPr>
        <w:t xml:space="preserve"> trung ương, tỉnh/thành phố và huyện/quận là điều kiện tiên quyết để triển khai thành công những sửa đổi, cải cách trong pháp luật về bảo hiểm xã hội. </w:t>
      </w:r>
    </w:p>
    <w:p w14:paraId="353E6A83" w14:textId="3B8A1DEA" w:rsidR="008C1F7A" w:rsidRPr="00301868" w:rsidRDefault="008C1F7A" w:rsidP="005C6DED">
      <w:pPr>
        <w:pStyle w:val="Heading3"/>
        <w:rPr>
          <w:rFonts w:eastAsia="Calibri"/>
        </w:rPr>
      </w:pPr>
      <w:bookmarkStart w:id="8" w:name="_Toc63186677"/>
      <w:r w:rsidRPr="00301868">
        <w:rPr>
          <w:rFonts w:eastAsia="Calibri"/>
        </w:rPr>
        <w:t>2.2</w:t>
      </w:r>
      <w:r w:rsidR="005C6DED" w:rsidRPr="00301868">
        <w:rPr>
          <w:rFonts w:eastAsia="Calibri"/>
        </w:rPr>
        <w:t>.</w:t>
      </w:r>
      <w:r w:rsidRPr="00301868">
        <w:rPr>
          <w:rFonts w:eastAsia="Calibri"/>
        </w:rPr>
        <w:t xml:space="preserve"> Những khó khăn, vướng mắc</w:t>
      </w:r>
      <w:bookmarkEnd w:id="8"/>
    </w:p>
    <w:p w14:paraId="41216E9D" w14:textId="67B801B5" w:rsidR="008C1F7A" w:rsidRPr="00301868" w:rsidRDefault="008C1F7A" w:rsidP="005C6DED">
      <w:pPr>
        <w:rPr>
          <w:rFonts w:eastAsia="Calibri"/>
        </w:rPr>
      </w:pPr>
      <w:r w:rsidRPr="00301868">
        <w:rPr>
          <w:rFonts w:eastAsia="Calibri"/>
        </w:rPr>
        <w:t>- Thiếu sự gắn kết chặt chẽ giữa các chính sách an sinh xã hội như giữa các chế độ BHXH với bảo trợ xã hội dẫn đến một hệ thống BHXH</w:t>
      </w:r>
      <w:r w:rsidR="008F4874" w:rsidRPr="00301868">
        <w:rPr>
          <w:rFonts w:eastAsia="Calibri"/>
        </w:rPr>
        <w:t xml:space="preserve"> “gần như”</w:t>
      </w:r>
      <w:r w:rsidRPr="00301868">
        <w:rPr>
          <w:rFonts w:eastAsia="Calibri"/>
        </w:rPr>
        <w:t xml:space="preserve"> đơn tầng </w:t>
      </w:r>
      <w:r w:rsidR="007038AB" w:rsidRPr="00301868">
        <w:rPr>
          <w:rFonts w:eastAsia="Calibri"/>
        </w:rPr>
        <w:t>(chưa có sự gắn kết chặt chẽ với</w:t>
      </w:r>
      <w:r w:rsidRPr="00301868">
        <w:rPr>
          <w:rFonts w:eastAsia="Calibri"/>
        </w:rPr>
        <w:t xml:space="preserve"> tầng </w:t>
      </w:r>
      <w:r w:rsidR="008F4874" w:rsidRPr="00301868">
        <w:rPr>
          <w:rFonts w:eastAsia="Calibri"/>
        </w:rPr>
        <w:t>trợ cấp hưu trí</w:t>
      </w:r>
      <w:r w:rsidRPr="00301868">
        <w:rPr>
          <w:rFonts w:eastAsia="Calibri"/>
        </w:rPr>
        <w:t xml:space="preserve"> xã hội </w:t>
      </w:r>
      <w:r w:rsidR="007038AB" w:rsidRPr="00301868">
        <w:rPr>
          <w:rFonts w:eastAsia="Calibri"/>
        </w:rPr>
        <w:t>từ nguồn ngân sách Nhà nước và tầng bảo hiểm hưu trí bổ sung theo nguyên tắc thị trường)</w:t>
      </w:r>
      <w:r w:rsidR="008A6FBA" w:rsidRPr="00301868">
        <w:rPr>
          <w:rStyle w:val="FootnoteReference"/>
          <w:rFonts w:eastAsia="Calibri"/>
        </w:rPr>
        <w:footnoteReference w:id="4"/>
      </w:r>
      <w:r w:rsidRPr="00301868">
        <w:rPr>
          <w:rFonts w:eastAsia="Calibri"/>
        </w:rPr>
        <w:t xml:space="preserve">. Hệ quả của điều này là diện bao phủ BHXH vẫn còn thấp ở cả khía cạnh người tham gia và thụ hưởng. Sự thiếu gắn kết này cũng dẫn đến việc thiếu nhất quán và sự manh mún trong sử dụng nguồn ngân sách của Nhà nước nhằm đảm bảo an sinh xã hội đối với người </w:t>
      </w:r>
      <w:r w:rsidR="00005638" w:rsidRPr="00301868">
        <w:rPr>
          <w:rFonts w:eastAsia="Calibri"/>
        </w:rPr>
        <w:t>sau độ tuổi nghỉ hưu</w:t>
      </w:r>
      <w:r w:rsidR="00C40B74" w:rsidRPr="00301868">
        <w:rPr>
          <w:rStyle w:val="FootnoteReference"/>
          <w:rFonts w:eastAsia="Calibri"/>
        </w:rPr>
        <w:footnoteReference w:id="5"/>
      </w:r>
      <w:r w:rsidRPr="00301868">
        <w:rPr>
          <w:rFonts w:eastAsia="Calibri"/>
        </w:rPr>
        <w:t xml:space="preserve">. </w:t>
      </w:r>
    </w:p>
    <w:p w14:paraId="42FD8B52" w14:textId="77777777" w:rsidR="008C1F7A" w:rsidRPr="00301868" w:rsidRDefault="008C1F7A" w:rsidP="005C6DED">
      <w:pPr>
        <w:rPr>
          <w:rFonts w:eastAsia="Calibri"/>
        </w:rPr>
      </w:pPr>
      <w:r w:rsidRPr="00301868">
        <w:rPr>
          <w:rFonts w:eastAsia="Calibri"/>
        </w:rPr>
        <w:lastRenderedPageBreak/>
        <w:t xml:space="preserve">- Lực lượng lao động khu vực phi chính thức chiếm tỷ trọng lớn cũng như các doanh nghiệp vừa, nhỏ và siêu nhỏ chiếm hơn 90% tổng số các doanh nghiệp đã ảnh hưởng không nhỏ đến khả năng đóng góp BHXH của cả người lao động và người sử dụng lao động. Điều này được phản ánh ở hầu hết các báo cáo thực hiện chính sách BHXH thời gian qua của các địa phương trong công tác phát triển đối tượng. </w:t>
      </w:r>
    </w:p>
    <w:p w14:paraId="2BD3900B" w14:textId="77777777" w:rsidR="008C1F7A" w:rsidRPr="00301868" w:rsidRDefault="008C1F7A" w:rsidP="005C6DED">
      <w:pPr>
        <w:rPr>
          <w:rFonts w:eastAsia="Calibri"/>
        </w:rPr>
      </w:pPr>
      <w:r w:rsidRPr="00301868">
        <w:rPr>
          <w:rFonts w:eastAsia="Calibri"/>
        </w:rPr>
        <w:t xml:space="preserve">- Tốc độ già hóa dân số nhanh là thách thức lớn nhất đối với các nhà hoạch định chính sách an sinh xã hội nói chung và bảo hiểm xã hội nói riêng. Do tỷ lệ sinh giảm và tuổi thọ trung bình tăng, tỷ lệ phụ thuộc chung về nhân khẩu học của Việt Nam (nghĩa là tỷ số giữa số người trên 15 tuổi và dưới 60 tuổi và số người trong độ tuổi lao động từ 16 đến 59 tuổi) sẽ tăng gấp đôi trong 85 năm tới. Sự thay đổi như vậy đặt ra một vấn đề lớn về quản lý đối với hệ thống BHXH của Việt Nam.   </w:t>
      </w:r>
    </w:p>
    <w:p w14:paraId="23C49E39" w14:textId="77777777" w:rsidR="008C1F7A" w:rsidRPr="00301868" w:rsidRDefault="008C1F7A" w:rsidP="005C6DED">
      <w:pPr>
        <w:pStyle w:val="Heading1"/>
        <w:rPr>
          <w:rFonts w:eastAsia="Calibri"/>
        </w:rPr>
      </w:pPr>
      <w:bookmarkStart w:id="9" w:name="_Toc63186678"/>
      <w:r w:rsidRPr="00301868">
        <w:rPr>
          <w:rFonts w:eastAsia="Calibri"/>
        </w:rPr>
        <w:t>Phần thứ hai</w:t>
      </w:r>
      <w:bookmarkEnd w:id="9"/>
    </w:p>
    <w:p w14:paraId="2BDCB105" w14:textId="44B16796" w:rsidR="007873D0" w:rsidRPr="00301868" w:rsidRDefault="008C1F7A" w:rsidP="008C1F7A">
      <w:pPr>
        <w:spacing w:after="0" w:line="240" w:lineRule="auto"/>
        <w:ind w:firstLine="0"/>
        <w:jc w:val="center"/>
        <w:rPr>
          <w:rFonts w:eastAsia="Calibri"/>
          <w:b/>
        </w:rPr>
      </w:pPr>
      <w:r w:rsidRPr="00301868">
        <w:rPr>
          <w:rFonts w:eastAsia="Calibri"/>
          <w:b/>
        </w:rPr>
        <w:t>CÔNG TÁC CHỈ ĐẠO, TỔ CHỨC TRIỂ</w:t>
      </w:r>
      <w:r w:rsidR="007873D0" w:rsidRPr="00301868">
        <w:rPr>
          <w:rFonts w:eastAsia="Calibri"/>
          <w:b/>
        </w:rPr>
        <w:t>N KHAI</w:t>
      </w:r>
    </w:p>
    <w:p w14:paraId="48F6A89A" w14:textId="732A9F47" w:rsidR="008C1F7A" w:rsidRPr="00301868" w:rsidRDefault="008C1F7A" w:rsidP="008C1F7A">
      <w:pPr>
        <w:spacing w:after="0" w:line="240" w:lineRule="auto"/>
        <w:ind w:firstLine="0"/>
        <w:jc w:val="center"/>
        <w:rPr>
          <w:rFonts w:eastAsia="Calibri"/>
          <w:b/>
        </w:rPr>
      </w:pPr>
      <w:r w:rsidRPr="00301868">
        <w:rPr>
          <w:rFonts w:eastAsia="Calibri"/>
          <w:b/>
        </w:rPr>
        <w:t>THI HÀNH LUẬT BHXH 2014</w:t>
      </w:r>
    </w:p>
    <w:p w14:paraId="452D6007" w14:textId="77777777" w:rsidR="007873D0" w:rsidRPr="00301868" w:rsidRDefault="007873D0" w:rsidP="008C1F7A">
      <w:pPr>
        <w:spacing w:after="0" w:line="240" w:lineRule="auto"/>
        <w:ind w:firstLine="0"/>
        <w:jc w:val="center"/>
        <w:rPr>
          <w:rFonts w:eastAsia="Calibri"/>
          <w:b/>
        </w:rPr>
      </w:pPr>
    </w:p>
    <w:p w14:paraId="3C96A47B" w14:textId="1C5BAF8A" w:rsidR="008C1F7A" w:rsidRPr="00301868" w:rsidRDefault="008C1F7A" w:rsidP="005C6DED">
      <w:pPr>
        <w:pStyle w:val="Heading2"/>
        <w:rPr>
          <w:rFonts w:eastAsia="Calibri"/>
        </w:rPr>
      </w:pPr>
      <w:bookmarkStart w:id="10" w:name="_Toc63186679"/>
      <w:r w:rsidRPr="00301868">
        <w:rPr>
          <w:rFonts w:eastAsia="Calibri"/>
        </w:rPr>
        <w:t>I. CÔNG TÁC CHỈ ĐẠO VÀ HƯỚNG DẪN THỰC HIỆN LUẬT BHXH 2014</w:t>
      </w:r>
      <w:bookmarkEnd w:id="10"/>
    </w:p>
    <w:p w14:paraId="7A0EC077" w14:textId="49178ADB" w:rsidR="00AF5B80" w:rsidRPr="00301868" w:rsidRDefault="008C1F7A" w:rsidP="005C6DED">
      <w:pPr>
        <w:pStyle w:val="Heading3"/>
        <w:rPr>
          <w:rFonts w:eastAsia="Calibri"/>
          <w:lang w:val="vi-VN"/>
        </w:rPr>
      </w:pPr>
      <w:bookmarkStart w:id="11" w:name="_Toc63186680"/>
      <w:r w:rsidRPr="00301868">
        <w:rPr>
          <w:rFonts w:eastAsia="Calibri"/>
        </w:rPr>
        <w:t>1.1</w:t>
      </w:r>
      <w:r w:rsidR="005C6DED" w:rsidRPr="00301868">
        <w:rPr>
          <w:rFonts w:eastAsia="Calibri"/>
        </w:rPr>
        <w:t>.</w:t>
      </w:r>
      <w:r w:rsidRPr="00301868">
        <w:rPr>
          <w:rFonts w:eastAsia="Calibri"/>
        </w:rPr>
        <w:t xml:space="preserve"> </w:t>
      </w:r>
      <w:r w:rsidR="00AF5B80" w:rsidRPr="00301868">
        <w:rPr>
          <w:rFonts w:eastAsia="Calibri"/>
          <w:lang w:val="vi-VN"/>
        </w:rPr>
        <w:t>Việc ban hành các văn bản quy định chi tiết và hướng dẫn thi hành Luật</w:t>
      </w:r>
      <w:r w:rsidR="00817DD0" w:rsidRPr="00301868">
        <w:rPr>
          <w:rFonts w:eastAsia="Calibri"/>
          <w:lang w:val="vi-VN"/>
        </w:rPr>
        <w:t xml:space="preserve"> BHXH năm 2014</w:t>
      </w:r>
      <w:bookmarkEnd w:id="11"/>
    </w:p>
    <w:p w14:paraId="5DF5E098" w14:textId="68733209" w:rsidR="008C1F7A" w:rsidRPr="00301868" w:rsidRDefault="008C1F7A" w:rsidP="005C6DED">
      <w:pPr>
        <w:rPr>
          <w:rFonts w:eastAsia="Calibri"/>
        </w:rPr>
      </w:pPr>
      <w:r w:rsidRPr="00301868">
        <w:rPr>
          <w:rFonts w:eastAsia="Calibri"/>
        </w:rPr>
        <w:t>Bảo hiểm xã hội là chính sách có tác động sâu rộng trong đời sống xã hội, vì vậy ngay sau khi Luật BHXH 2014 được Quốc hội thông qua, Chính phủ và các Bộ đã ban hành các văn bản quy phạm pháp luật để hướng dẫn thực hiện các chế độ BHXH bắt buộc</w:t>
      </w:r>
      <w:r w:rsidR="003645DB" w:rsidRPr="00301868">
        <w:rPr>
          <w:rFonts w:eastAsia="Calibri"/>
        </w:rPr>
        <w:t xml:space="preserve"> (đối với khu vực dân sự và khu vực lực lượng vũ trang)</w:t>
      </w:r>
      <w:r w:rsidRPr="00301868">
        <w:rPr>
          <w:rFonts w:eastAsia="Calibri"/>
        </w:rPr>
        <w:t>; BHXH tự nguyện</w:t>
      </w:r>
      <w:r w:rsidR="00D150C5" w:rsidRPr="00301868">
        <w:rPr>
          <w:rFonts w:eastAsia="Calibri"/>
        </w:rPr>
        <w:t>; bảo hiểm hưu trí bổ sung</w:t>
      </w:r>
      <w:r w:rsidRPr="00301868">
        <w:rPr>
          <w:rFonts w:eastAsia="Calibri"/>
        </w:rPr>
        <w:t xml:space="preserve">; giao chỉ tiêu phát triển đối tượng tham gia BHXH; thực hiện chính sách hỗ trợ tiền đóng BHXH cho người lao động tham gia BHXH tự nguyện; </w:t>
      </w:r>
      <w:r w:rsidR="003645DB" w:rsidRPr="00301868">
        <w:rPr>
          <w:rFonts w:eastAsia="Calibri"/>
        </w:rPr>
        <w:t>việc điều chỉnh lương hưu và</w:t>
      </w:r>
      <w:r w:rsidR="00F31516" w:rsidRPr="00301868">
        <w:rPr>
          <w:rFonts w:eastAsia="Calibri"/>
        </w:rPr>
        <w:t xml:space="preserve"> điều chỉnh tiền lương, thu nhập tháng đã đóng BHXH định kỳ…</w:t>
      </w:r>
      <w:r w:rsidRPr="00301868">
        <w:rPr>
          <w:rFonts w:eastAsia="Calibri"/>
        </w:rPr>
        <w:t xml:space="preserve"> (</w:t>
      </w:r>
      <w:r w:rsidRPr="00301868">
        <w:rPr>
          <w:rFonts w:eastAsia="Calibri"/>
          <w:i/>
        </w:rPr>
        <w:t>xem Phụ lục 1 về Danh mục chi tiết của các văn bản quy phạm pháp luật về BHXH</w:t>
      </w:r>
      <w:r w:rsidRPr="00301868">
        <w:rPr>
          <w:rFonts w:eastAsia="Calibri"/>
        </w:rPr>
        <w:t xml:space="preserve">). </w:t>
      </w:r>
    </w:p>
    <w:p w14:paraId="2F41D7E1" w14:textId="6A332326" w:rsidR="008C1F7A" w:rsidRPr="00301868" w:rsidRDefault="008C1F7A" w:rsidP="005C6DED">
      <w:pPr>
        <w:rPr>
          <w:rFonts w:eastAsia="Calibri"/>
        </w:rPr>
      </w:pPr>
      <w:r w:rsidRPr="00301868">
        <w:rPr>
          <w:rFonts w:eastAsia="Calibri"/>
        </w:rPr>
        <w:t>Trong quá trình xây dựng, trình ban hành và ban hành các văn bản quy phạm pháp luật mặc dù gặp không ít khó khăn như có những vấn đề mới lần đầu tiên được điều chỉnh ở Việt Nam (</w:t>
      </w:r>
      <w:r w:rsidR="001725A4" w:rsidRPr="00301868">
        <w:rPr>
          <w:rFonts w:eastAsia="Calibri"/>
        </w:rPr>
        <w:t>bảo hiểm hưu trí bổ sung; BHXH</w:t>
      </w:r>
      <w:r w:rsidRPr="00301868">
        <w:rPr>
          <w:rFonts w:eastAsia="Calibri"/>
        </w:rPr>
        <w:t xml:space="preserve"> bắt buộc đối với lao động là người nước ngoài vào làm việc tại Việt Nam</w:t>
      </w:r>
      <w:r w:rsidR="001725A4" w:rsidRPr="00301868">
        <w:rPr>
          <w:rFonts w:eastAsia="Calibri"/>
        </w:rPr>
        <w:t>; hỗ trợ tiền đóng BHXH tự nguyện…</w:t>
      </w:r>
      <w:r w:rsidRPr="00301868">
        <w:rPr>
          <w:rFonts w:eastAsia="Calibri"/>
        </w:rPr>
        <w:t xml:space="preserve">), nhưng nhờ sự phối hợp chặt chẽ </w:t>
      </w:r>
      <w:r w:rsidR="001725A4" w:rsidRPr="00301868">
        <w:rPr>
          <w:rFonts w:eastAsia="Calibri"/>
        </w:rPr>
        <w:t>giữa</w:t>
      </w:r>
      <w:r w:rsidRPr="00301868">
        <w:rPr>
          <w:rFonts w:eastAsia="Calibri"/>
        </w:rPr>
        <w:t xml:space="preserve"> các Bộ, ngành</w:t>
      </w:r>
      <w:r w:rsidR="005846C8" w:rsidRPr="00301868">
        <w:rPr>
          <w:rFonts w:eastAsia="Calibri"/>
        </w:rPr>
        <w:t>, cơ quan</w:t>
      </w:r>
      <w:r w:rsidRPr="00301868">
        <w:rPr>
          <w:rFonts w:eastAsia="Calibri"/>
        </w:rPr>
        <w:t xml:space="preserve"> liên quan, các văn bản đã được ban hành </w:t>
      </w:r>
      <w:r w:rsidR="005846C8" w:rsidRPr="00301868">
        <w:rPr>
          <w:rFonts w:eastAsia="Calibri"/>
        </w:rPr>
        <w:t>bảo đảm</w:t>
      </w:r>
      <w:r w:rsidRPr="00301868">
        <w:rPr>
          <w:rFonts w:eastAsia="Calibri"/>
        </w:rPr>
        <w:t xml:space="preserve"> tiến độ và yêu cầu đặt ra. Cùng với việc xây dựng, ban hành các văn bản quy phạm pháp luật, công tác báo cáo về tình hình thực hiện bảo hiểm xã hội cũng được thực hiện thường xuyên, đảm bảo chất lượng nhằm chủ động có các biện pháp giải quyết các vấn đề và tâm lý phát sinh của các đối tượng thuộc phạm vi điều chỉnh của Luật </w:t>
      </w:r>
      <w:r w:rsidRPr="00301868">
        <w:rPr>
          <w:rFonts w:eastAsia="Calibri"/>
        </w:rPr>
        <w:lastRenderedPageBreak/>
        <w:t xml:space="preserve">BHXH 2014, điển hình là quy định </w:t>
      </w:r>
      <w:r w:rsidR="00DF367E" w:rsidRPr="00301868">
        <w:rPr>
          <w:rFonts w:eastAsia="Calibri"/>
        </w:rPr>
        <w:t>về BHXH</w:t>
      </w:r>
      <w:r w:rsidRPr="00301868">
        <w:rPr>
          <w:rFonts w:eastAsia="Calibri"/>
        </w:rPr>
        <w:t xml:space="preserve"> một lần và cách tính lương hưu đối với lao động nữ</w:t>
      </w:r>
      <w:r w:rsidR="00227733" w:rsidRPr="00301868">
        <w:rPr>
          <w:rFonts w:eastAsia="Calibri"/>
        </w:rPr>
        <w:t xml:space="preserve"> nghỉ hưu trong giai đoạn từ năm 2018 đến năm 2021</w:t>
      </w:r>
      <w:r w:rsidRPr="00301868">
        <w:rPr>
          <w:rFonts w:eastAsia="Calibri"/>
        </w:rPr>
        <w:t>.</w:t>
      </w:r>
    </w:p>
    <w:p w14:paraId="0131DBC6" w14:textId="589DE2C1" w:rsidR="008C1F7A" w:rsidRPr="00301868" w:rsidRDefault="008C1F7A" w:rsidP="005C6DED">
      <w:pPr>
        <w:rPr>
          <w:rFonts w:eastAsia="Calibri"/>
        </w:rPr>
      </w:pPr>
      <w:r w:rsidRPr="00301868">
        <w:rPr>
          <w:rFonts w:eastAsia="Calibri"/>
        </w:rPr>
        <w:t>Tại các địa phương, theo trách nhiệm được quy định tại Luật BHXH 2014, chính quyền và các</w:t>
      </w:r>
      <w:r w:rsidR="00EA0229" w:rsidRPr="00301868">
        <w:rPr>
          <w:rFonts w:eastAsia="Calibri"/>
        </w:rPr>
        <w:t xml:space="preserve"> sở,</w:t>
      </w:r>
      <w:r w:rsidRPr="00301868">
        <w:rPr>
          <w:rFonts w:eastAsia="Calibri"/>
        </w:rPr>
        <w:t xml:space="preserve"> ngành cũng đã ban hành nhiều văn bản về quy chế, kế hoạch phối hợp công tác trong xây dựng chỉ tiêu phát triển đối tượng tham gia bảo hiểm xã hội</w:t>
      </w:r>
      <w:r w:rsidR="005F0397" w:rsidRPr="00301868">
        <w:rPr>
          <w:rFonts w:eastAsia="Calibri"/>
        </w:rPr>
        <w:t>, công tác thanh tra, kiểm tra, tuyên truyền</w:t>
      </w:r>
      <w:r w:rsidRPr="00301868">
        <w:rPr>
          <w:rFonts w:eastAsia="Calibri"/>
        </w:rPr>
        <w:t xml:space="preserve"> trên địa bàn thuộc thẩm quyền quản lý. </w:t>
      </w:r>
    </w:p>
    <w:p w14:paraId="6688E7CC" w14:textId="77777777" w:rsidR="008C1F7A" w:rsidRPr="00301868" w:rsidRDefault="008C1F7A" w:rsidP="005C6DED">
      <w:pPr>
        <w:rPr>
          <w:rFonts w:eastAsia="Calibri"/>
        </w:rPr>
      </w:pPr>
      <w:r w:rsidRPr="00301868">
        <w:rPr>
          <w:rFonts w:eastAsia="Calibri"/>
        </w:rPr>
        <w:t>Nhìn chung, các văn bản quy phạm pháp luật, văn bản chỉ đạo, hướng dẫn thực hiện Luật BHXH 2014 ở tất cả các cấp đã được ban hành kịp thời, bảo đảm tiến độ và chất lượng, tạo điều kiện thuận lợi cho công tác tổ chức triển khai thực hiện Luật BHXH 2014.</w:t>
      </w:r>
    </w:p>
    <w:p w14:paraId="5DF4BF7E" w14:textId="2CDB4BC5" w:rsidR="008C1F7A" w:rsidRPr="00301868" w:rsidRDefault="008C1F7A" w:rsidP="007C2005">
      <w:pPr>
        <w:pStyle w:val="Heading3"/>
        <w:rPr>
          <w:rFonts w:eastAsia="Calibri"/>
        </w:rPr>
      </w:pPr>
      <w:bookmarkStart w:id="12" w:name="_Toc63186681"/>
      <w:r w:rsidRPr="00301868">
        <w:rPr>
          <w:rFonts w:eastAsia="Calibri"/>
        </w:rPr>
        <w:t>1.</w:t>
      </w:r>
      <w:r w:rsidR="00817DD0" w:rsidRPr="00301868">
        <w:rPr>
          <w:rFonts w:eastAsia="Calibri"/>
          <w:lang w:val="vi-VN"/>
        </w:rPr>
        <w:t>2</w:t>
      </w:r>
      <w:r w:rsidR="007C2005" w:rsidRPr="00301868">
        <w:rPr>
          <w:rFonts w:eastAsia="Calibri"/>
        </w:rPr>
        <w:t>.</w:t>
      </w:r>
      <w:r w:rsidRPr="00301868">
        <w:rPr>
          <w:rFonts w:eastAsia="Calibri"/>
        </w:rPr>
        <w:t xml:space="preserve"> Công tác ban hành văn bản hướng dẫn nghiệp vụ</w:t>
      </w:r>
      <w:bookmarkEnd w:id="12"/>
      <w:r w:rsidRPr="00301868">
        <w:rPr>
          <w:rFonts w:eastAsia="Calibri"/>
        </w:rPr>
        <w:t xml:space="preserve"> </w:t>
      </w:r>
    </w:p>
    <w:p w14:paraId="25186200" w14:textId="2A64D2F6" w:rsidR="008C1F7A" w:rsidRPr="00301868" w:rsidRDefault="008C1F7A" w:rsidP="007C2005">
      <w:pPr>
        <w:rPr>
          <w:rFonts w:eastAsia="Calibri"/>
        </w:rPr>
      </w:pPr>
      <w:r w:rsidRPr="00301868">
        <w:rPr>
          <w:rFonts w:eastAsia="Calibri"/>
        </w:rPr>
        <w:t xml:space="preserve">Ban hành các văn bản về quy trình, thủ tục tham gia BHXH và thụ hưởng các chế độ BHXH đóng vai trò quan trọng trong việc đưa pháp luật bảo hiểm xã hội vào cuộc sống. Ngay sau khi Luật BHXH 2014 có hiệu lực thi hành, BHXH Việt Nam đã rà soát, xây dựng, hoàn thiện quy định về hồ sơ và quy trình thu, chi, giải quyết hưởng các chế độ BHXH cũng như các văn bản triển khai thực hiện chức năng thanh tra chuyên ngành đóng BHXH, bảo hiểm y tế, bảo hiểm thất nghiệp. Đồng thời BHXH Việt Nam đã tổng hợp các nội dung vướng mắc phát sinh trong quá trình thực hiện </w:t>
      </w:r>
      <w:r w:rsidR="004379BB" w:rsidRPr="00301868">
        <w:rPr>
          <w:rFonts w:eastAsia="Calibri"/>
        </w:rPr>
        <w:t>chính sách</w:t>
      </w:r>
      <w:r w:rsidRPr="00301868">
        <w:rPr>
          <w:rFonts w:eastAsia="Calibri"/>
        </w:rPr>
        <w:t xml:space="preserve"> BHXH đề nghị Bộ Lao động</w:t>
      </w:r>
      <w:r w:rsidR="00FA306C" w:rsidRPr="00301868">
        <w:rPr>
          <w:rFonts w:eastAsia="Calibri"/>
        </w:rPr>
        <w:t xml:space="preserve"> </w:t>
      </w:r>
      <w:r w:rsidR="00CB18DF" w:rsidRPr="00301868">
        <w:rPr>
          <w:rFonts w:eastAsia="Calibri"/>
        </w:rPr>
        <w:t>-</w:t>
      </w:r>
      <w:r w:rsidR="00FA306C" w:rsidRPr="00301868">
        <w:rPr>
          <w:rFonts w:eastAsia="Calibri"/>
        </w:rPr>
        <w:t xml:space="preserve"> </w:t>
      </w:r>
      <w:r w:rsidRPr="00301868">
        <w:rPr>
          <w:rFonts w:eastAsia="Calibri"/>
        </w:rPr>
        <w:t>Thương binh và Xã hội</w:t>
      </w:r>
      <w:r w:rsidR="00FA306C" w:rsidRPr="00301868">
        <w:rPr>
          <w:rFonts w:eastAsia="Calibri"/>
        </w:rPr>
        <w:t>, Bộ Y tế</w:t>
      </w:r>
      <w:r w:rsidR="004379BB" w:rsidRPr="00301868">
        <w:rPr>
          <w:rFonts w:eastAsia="Calibri"/>
        </w:rPr>
        <w:t>, Bộ Tài chính</w:t>
      </w:r>
      <w:r w:rsidRPr="00301868">
        <w:rPr>
          <w:rFonts w:eastAsia="Calibri"/>
        </w:rPr>
        <w:t xml:space="preserve"> hướng dẫn. Trước tình hình trục lợi quỹ BHXH, bảo hiểm thất nghiệp có những diễn biến phức tạp và số người hưởng BHXH một lần ngày càng gia tăng, BHXH Việt Nam đã kịp thời ban hành văn bản chỉ đạo BHXH các tỉnh, thành phố tăng cường công tác quản lý và vận động người lao động chuyển sang đóng tiếp BHXH tự nguyện (</w:t>
      </w:r>
      <w:r w:rsidRPr="00301868">
        <w:rPr>
          <w:rFonts w:eastAsia="Calibri"/>
          <w:i/>
        </w:rPr>
        <w:t>xem Phụ lục 2 về Danh mục chi tiết của các văn bản hướng dẫn nghiệp vụ và quy trình, thủ tục về BHXH</w:t>
      </w:r>
      <w:r w:rsidRPr="00301868">
        <w:rPr>
          <w:rFonts w:eastAsia="Calibri"/>
        </w:rPr>
        <w:t xml:space="preserve">). </w:t>
      </w:r>
    </w:p>
    <w:p w14:paraId="109C09AF" w14:textId="28338DE4" w:rsidR="008C1F7A" w:rsidRPr="00301868" w:rsidRDefault="008C1F7A" w:rsidP="007C2005">
      <w:pPr>
        <w:pStyle w:val="Heading3"/>
        <w:rPr>
          <w:rFonts w:eastAsia="Calibri"/>
        </w:rPr>
      </w:pPr>
      <w:bookmarkStart w:id="13" w:name="_Toc63186682"/>
      <w:r w:rsidRPr="00301868">
        <w:rPr>
          <w:rFonts w:eastAsia="Calibri"/>
        </w:rPr>
        <w:t>1.3</w:t>
      </w:r>
      <w:r w:rsidR="007C2005" w:rsidRPr="00301868">
        <w:rPr>
          <w:rFonts w:eastAsia="Calibri"/>
        </w:rPr>
        <w:t>.</w:t>
      </w:r>
      <w:r w:rsidRPr="00301868">
        <w:rPr>
          <w:rFonts w:eastAsia="Calibri"/>
        </w:rPr>
        <w:t xml:space="preserve"> Công tác phối hợp giữa các ngành, các cấp</w:t>
      </w:r>
      <w:bookmarkEnd w:id="13"/>
      <w:r w:rsidRPr="00301868">
        <w:rPr>
          <w:rFonts w:eastAsia="Calibri"/>
        </w:rPr>
        <w:t xml:space="preserve"> </w:t>
      </w:r>
    </w:p>
    <w:p w14:paraId="34FE9D95" w14:textId="77777777" w:rsidR="008C1F7A" w:rsidRPr="00301868" w:rsidRDefault="008C1F7A" w:rsidP="007C2005">
      <w:pPr>
        <w:rPr>
          <w:rFonts w:eastAsia="Calibri"/>
        </w:rPr>
      </w:pPr>
      <w:r w:rsidRPr="00301868">
        <w:rPr>
          <w:rFonts w:eastAsia="Calibri"/>
        </w:rPr>
        <w:t xml:space="preserve">Sự phối hợp công tác giữa các ngành, các cấp và các đối tác xã hội đóng vai trò quan trọng trong triển khai thực hiện có hiệu quả Luật BHXH 2014. Hoạt động phối hợp nổi bật nhất là tuyên truyền, phổ biến pháp luật về BHXH. Sự phối hợp công tác cũng được thể hiện rõ trong công tác thanh tra liên ngành về triển khai thực hiện Luật BHXH 2014. </w:t>
      </w:r>
    </w:p>
    <w:p w14:paraId="689C1836" w14:textId="325DF5CD" w:rsidR="008C1F7A" w:rsidRPr="00301868" w:rsidRDefault="008C1F7A" w:rsidP="007C2005">
      <w:pPr>
        <w:rPr>
          <w:rFonts w:eastAsia="Calibri"/>
        </w:rPr>
      </w:pPr>
      <w:r w:rsidRPr="00301868">
        <w:rPr>
          <w:rFonts w:eastAsia="Calibri"/>
        </w:rPr>
        <w:t xml:space="preserve">Tổ chức BHXH đã chủ động xây dựng và ký kết các chương trình, quy chế phối hợp trong tổ chức thực hiện chính sách BHXH với các bộ, ban, ngành như Bộ Lao động </w:t>
      </w:r>
      <w:r w:rsidR="00CB18DF" w:rsidRPr="00301868">
        <w:rPr>
          <w:rFonts w:eastAsia="Calibri"/>
        </w:rPr>
        <w:t>-</w:t>
      </w:r>
      <w:r w:rsidRPr="00301868">
        <w:rPr>
          <w:rFonts w:eastAsia="Calibri"/>
        </w:rPr>
        <w:t xml:space="preserve"> Thương binh và Xã hội, Tổng Liên đoàn lao động Việt Nam, Tổng cục Cảnh sát phòng chống tội phạm, Đài Tiếng nói Việt Nam, Đài Truyền hình Việt Nam, Thông tấn xã Việt Nam để các đia phương, đơn vị triển khai </w:t>
      </w:r>
      <w:r w:rsidRPr="00301868">
        <w:rPr>
          <w:rFonts w:eastAsia="Calibri"/>
        </w:rPr>
        <w:lastRenderedPageBreak/>
        <w:t xml:space="preserve">thực hiện. Theo báo cáo của BHXH Việt Nam, đến cuối năm 2018, ở Trung ương, BHXH Việt Nam đã ký chương trình phối hợp tuyên truyền, phổ biến pháp luật về BHXH, bảo hiểm y tế với 24 đơn vị đầu mối thuộc 18 bộ, ban, ngành, tổ chức chính trị, tổ chức chính trị </w:t>
      </w:r>
      <w:r w:rsidR="00CB18DF" w:rsidRPr="00301868">
        <w:rPr>
          <w:rFonts w:eastAsia="Calibri"/>
        </w:rPr>
        <w:t>-</w:t>
      </w:r>
      <w:r w:rsidRPr="00301868">
        <w:rPr>
          <w:rFonts w:eastAsia="Calibri"/>
        </w:rPr>
        <w:t xml:space="preserve"> xã hội (</w:t>
      </w:r>
      <w:r w:rsidRPr="00301868">
        <w:rPr>
          <w:rFonts w:eastAsia="Calibri"/>
          <w:i/>
        </w:rPr>
        <w:t>sau đây gọi chung là cơ quan phối hợp</w:t>
      </w:r>
      <w:r w:rsidRPr="00301868">
        <w:rPr>
          <w:rFonts w:eastAsia="Calibri"/>
        </w:rPr>
        <w:t>). BHXH Việt Nam cũng phối hợp với Tổng Công ty Bưu điện tổ chức tuyên truyền, phổ biến chính sách BHXH tự nguyện và phối hợp với 94 đầu mối thuộc 82 cơ quan truyền thông, báo chí xây dựng kế hoạch và phối hợp triển khai các hoạt động tuyên truyền BHXH, bảo hiểm y tế.</w:t>
      </w:r>
    </w:p>
    <w:p w14:paraId="59CBD0E0" w14:textId="77777777" w:rsidR="008C1F7A" w:rsidRPr="00301868" w:rsidRDefault="008C1F7A" w:rsidP="007C2005">
      <w:pPr>
        <w:rPr>
          <w:rFonts w:eastAsia="Calibri"/>
        </w:rPr>
      </w:pPr>
      <w:r w:rsidRPr="00301868">
        <w:rPr>
          <w:rFonts w:eastAsia="Calibri"/>
        </w:rPr>
        <w:t>Ở địa phương, trên cơ sở nội dung phối hợp khung trong tổ chức thực hiện chính sách BHXH giữa BHXH Việt Nam với các bộ, ban, ngành ở Trung ương, BHXH các địa phương cùng các sở, ban, ngành đã thống nhất để cụ thể hóa các nội dung cũng như hình thức phối hợp trong tổ chức thực hiện BHXH trên địa bàn phù hợp với điều kiện thực tiễn tại mỗi địa phương. Nhìn chung, công tác phối hợp thực hiện chính sách BHXH tại địa phương đã có chuyển biến tích cực cả trong phối hợp quản lý đơn vị sử dụng lao động, người lao động, đôn đốc đóng BHXH, thu nợ cũng như công tác kiểm tra, xác minh đối tượng, điều kiện hưởng chế độ.</w:t>
      </w:r>
    </w:p>
    <w:p w14:paraId="0B781B7B" w14:textId="260CA10F" w:rsidR="008C1F7A" w:rsidRPr="00301868" w:rsidRDefault="008C1F7A" w:rsidP="007C2005">
      <w:pPr>
        <w:rPr>
          <w:rFonts w:eastAsia="Calibri"/>
        </w:rPr>
      </w:pPr>
      <w:r w:rsidRPr="00301868">
        <w:rPr>
          <w:rFonts w:eastAsia="Calibri"/>
        </w:rPr>
        <w:t>Tuy nhiên, công tác phối hợp tại địa phương còn chưa đáp ứng được yêu cầu thực tiễn và mong muốn của lãnh đạo các bộ, ngành và BHXH Việt Nam. Tại những địa phương mà lãnh đạo Tỉnh ủy, Ủy ban nhân dân tỉnh và các sở, ban, ngành quan tâm chỉ đạo sát sao công tác phối hợp thì kết quả công tác thực hiện chính sách BHXH có chuyển biến rõ rệt; ngược lại tại một số địa phương mà lãnh đạo thiếu sự quan tâm, chỉ đạo quyết liệt thì hiệu quả của công tác phối hợp không cao, thậm chí có nơi chỉ mang tính hình thức. Công tác phối hợp tại địa phương chưa có tính ràng buộc pháp lý cao vì chưa có các quy định của Ủy ban nhân dân tỉnh về trách nhiệm cụ thể của các sở, ban, ngành trong việc trao đổi thông tin (thành lập doanh nghiệp, đăng ký kinh doanh, quản lý lao động, …), phối hợp thanh, kiểm tra, tuyên truyền, giải quyết khiếu nại, tố cáo để nâng cao ý thức tuân thủ pháp luậ</w:t>
      </w:r>
      <w:r w:rsidR="007C2005" w:rsidRPr="00301868">
        <w:rPr>
          <w:rFonts w:eastAsia="Calibri"/>
        </w:rPr>
        <w:t>t BHXH.</w:t>
      </w:r>
    </w:p>
    <w:p w14:paraId="655D1291" w14:textId="77777777" w:rsidR="008C1F7A" w:rsidRPr="00301868" w:rsidRDefault="008C1F7A" w:rsidP="007C2005">
      <w:pPr>
        <w:pStyle w:val="Heading2"/>
      </w:pPr>
      <w:bookmarkStart w:id="14" w:name="_Toc63186683"/>
      <w:r w:rsidRPr="00301868">
        <w:t>II. CÔNG TÁC TUYÊN TRUYỀN, PHỔ BIẾN CHÍNH SÁCH, PHÁP LUẬT VỀ BHXH</w:t>
      </w:r>
      <w:bookmarkEnd w:id="14"/>
    </w:p>
    <w:p w14:paraId="559AA1E1" w14:textId="2350F77E" w:rsidR="008C1F7A" w:rsidRPr="00301868" w:rsidRDefault="008C1F7A" w:rsidP="007C2005">
      <w:pPr>
        <w:rPr>
          <w:rFonts w:eastAsia="Calibri"/>
        </w:rPr>
      </w:pPr>
      <w:r w:rsidRPr="00301868">
        <w:rPr>
          <w:rFonts w:eastAsia="Calibri"/>
        </w:rPr>
        <w:t xml:space="preserve">Trách nhiệm tuyên truyền, phổ biến chính sách, pháp luật về BHXH được Luật BHXH 2014 quy định rõ đối với Bộ Lao động </w:t>
      </w:r>
      <w:r w:rsidR="00CB18DF" w:rsidRPr="00301868">
        <w:rPr>
          <w:rFonts w:eastAsia="Calibri"/>
        </w:rPr>
        <w:t>-</w:t>
      </w:r>
      <w:r w:rsidRPr="00301868">
        <w:rPr>
          <w:rFonts w:eastAsia="Calibri"/>
        </w:rPr>
        <w:t xml:space="preserve"> Thương binh và Xã hội, Ủy ban nhân dân các cấp, tổ chức công đoàn, Mặt trận Tổ quốc Việt Nam và các tổ chức thành viên, tổ chức đại diện của người sử dụng lao động và cơ quan BHXH. </w:t>
      </w:r>
    </w:p>
    <w:p w14:paraId="647702D0" w14:textId="1E0C67EE" w:rsidR="008C1F7A" w:rsidRPr="00301868" w:rsidRDefault="008C1F7A" w:rsidP="007C2005">
      <w:pPr>
        <w:pStyle w:val="Heading3"/>
        <w:rPr>
          <w:rFonts w:eastAsia="Calibri"/>
        </w:rPr>
      </w:pPr>
      <w:bookmarkStart w:id="15" w:name="_Toc63186684"/>
      <w:r w:rsidRPr="00301868">
        <w:rPr>
          <w:rFonts w:eastAsia="Calibri"/>
        </w:rPr>
        <w:lastRenderedPageBreak/>
        <w:t>2.1</w:t>
      </w:r>
      <w:r w:rsidR="007C2005" w:rsidRPr="00301868">
        <w:rPr>
          <w:rFonts w:eastAsia="Calibri"/>
        </w:rPr>
        <w:t>.</w:t>
      </w:r>
      <w:r w:rsidRPr="00301868">
        <w:rPr>
          <w:rFonts w:eastAsia="Calibri"/>
        </w:rPr>
        <w:t xml:space="preserve"> Tình hình thực hiện công tác tuyên truyền, phổ biến chính sách, pháp luật về BHXH</w:t>
      </w:r>
      <w:bookmarkEnd w:id="15"/>
    </w:p>
    <w:p w14:paraId="41BF41B0" w14:textId="77777777" w:rsidR="008C1F7A" w:rsidRPr="00301868" w:rsidRDefault="008C1F7A" w:rsidP="007C2005">
      <w:pPr>
        <w:rPr>
          <w:rFonts w:eastAsia="Calibri"/>
        </w:rPr>
      </w:pPr>
      <w:r w:rsidRPr="00301868">
        <w:rPr>
          <w:rFonts w:eastAsia="Calibri"/>
        </w:rPr>
        <w:t xml:space="preserve">Tuyên truyền, phổ biến chính sách, pháp luật về BHXH luôn được coi là một trong những nội dung quan trọng trong tuyên truyền các chủ trương, chính sách của Đảng, pháp luật của Nhà nước do đó công tác luôn đồng hành với các hoạt động về BHXH, đã và đang góp phần không nhỏ để hỗ trợ, nâng cao nhận thức của người dân trong việc tham gia bảo hiểm xã hội nói chung và bảo hiểm xã hội tự nguyện nói riêng; giúp người lao động và người sử dụng lao động hiểu được chủ trương, chính sách của Nhà nước về công tác bảo hiểm xã hội và việc tổ chức thực hiện của ngành BHXH. </w:t>
      </w:r>
    </w:p>
    <w:p w14:paraId="1E68C68D" w14:textId="68547725" w:rsidR="008C1F7A" w:rsidRPr="00301868" w:rsidRDefault="008C1F7A" w:rsidP="007C2005">
      <w:pPr>
        <w:rPr>
          <w:rFonts w:eastAsia="Calibri"/>
          <w:color w:val="000000"/>
        </w:rPr>
      </w:pPr>
      <w:r w:rsidRPr="00301868">
        <w:rPr>
          <w:rFonts w:eastAsia="Calibri"/>
          <w:color w:val="000000"/>
        </w:rPr>
        <w:t>Trong giai đoạn 201</w:t>
      </w:r>
      <w:r w:rsidR="00F55D15" w:rsidRPr="00301868">
        <w:rPr>
          <w:rFonts w:eastAsia="Calibri"/>
          <w:color w:val="000000"/>
        </w:rPr>
        <w:t>6</w:t>
      </w:r>
      <w:r w:rsidRPr="00301868">
        <w:rPr>
          <w:rFonts w:eastAsia="Calibri"/>
          <w:color w:val="000000"/>
        </w:rPr>
        <w:t xml:space="preserve"> </w:t>
      </w:r>
      <w:r w:rsidR="00CB18DF" w:rsidRPr="00301868">
        <w:rPr>
          <w:rFonts w:eastAsia="Calibri"/>
        </w:rPr>
        <w:t>-</w:t>
      </w:r>
      <w:r w:rsidRPr="00301868">
        <w:rPr>
          <w:rFonts w:eastAsia="Calibri"/>
          <w:color w:val="000000"/>
        </w:rPr>
        <w:t xml:space="preserve"> 20</w:t>
      </w:r>
      <w:r w:rsidR="00F55D15" w:rsidRPr="00301868">
        <w:rPr>
          <w:rFonts w:eastAsia="Calibri"/>
          <w:color w:val="000000"/>
        </w:rPr>
        <w:t>20</w:t>
      </w:r>
      <w:r w:rsidRPr="00301868">
        <w:rPr>
          <w:rFonts w:eastAsia="Calibri"/>
          <w:color w:val="000000"/>
        </w:rPr>
        <w:t xml:space="preserve">, công tác truyên truyền, phổ biến pháp luật về bảo hiểm xã hội đã chuyển biến tích cực theo hướng gắn với phát triển đối tượng.  Ngày sau khi Luật BHXH 2014 được thông qua, </w:t>
      </w:r>
      <w:r w:rsidRPr="00301868">
        <w:rPr>
          <w:rFonts w:eastAsia="Calibri"/>
        </w:rPr>
        <w:t xml:space="preserve">Bộ Lao động </w:t>
      </w:r>
      <w:r w:rsidR="00CB18DF" w:rsidRPr="00301868">
        <w:rPr>
          <w:rFonts w:eastAsia="Calibri"/>
        </w:rPr>
        <w:t>-</w:t>
      </w:r>
      <w:r w:rsidRPr="00301868">
        <w:rPr>
          <w:rFonts w:eastAsia="Calibri"/>
        </w:rPr>
        <w:t xml:space="preserve"> Thương binh và Xã hội đã biên soạn tài liệu tập huấn về Luật BHXH 2014 và tổ chức tập huấn cho các báo cáo viên của các Bộ, ngành và </w:t>
      </w:r>
      <w:r w:rsidRPr="00301868">
        <w:rPr>
          <w:rFonts w:eastAsia="Calibri"/>
          <w:color w:val="000000"/>
        </w:rPr>
        <w:t>cho người lao động và người sử dụng lao động tại một số địa phương ở 3 miền Bắc, Trung và Nam</w:t>
      </w:r>
      <w:r w:rsidRPr="00301868">
        <w:rPr>
          <w:rFonts w:eastAsia="Calibri"/>
        </w:rPr>
        <w:t xml:space="preserve">. Bộ Lao động </w:t>
      </w:r>
      <w:r w:rsidR="00CB18DF" w:rsidRPr="00301868">
        <w:rPr>
          <w:rFonts w:eastAsia="Calibri"/>
        </w:rPr>
        <w:t>-</w:t>
      </w:r>
      <w:r w:rsidRPr="00301868">
        <w:rPr>
          <w:rFonts w:eastAsia="Calibri"/>
        </w:rPr>
        <w:t xml:space="preserve"> Thương binh và Xã hội cũng đã p</w:t>
      </w:r>
      <w:r w:rsidRPr="00301868">
        <w:rPr>
          <w:rFonts w:eastAsia="Calibri"/>
          <w:color w:val="000000"/>
        </w:rPr>
        <w:t>hối hợp với các Bộ, ngành, cơ quan, đoàn thể tổ chức hàng nghìn hội nghị, hội thảo, hội thi về bảo hiểm xã hội, đối thoại trực tiếp với các nhóm đối tượng tại các vùng, miền, các khu công nghiệp và khu dân cư.</w:t>
      </w:r>
    </w:p>
    <w:p w14:paraId="71975078" w14:textId="77777777" w:rsidR="008C1F7A" w:rsidRPr="00301868" w:rsidRDefault="008C1F7A" w:rsidP="007C2005">
      <w:pPr>
        <w:rPr>
          <w:rFonts w:eastAsia="Calibri"/>
          <w:color w:val="000000"/>
        </w:rPr>
      </w:pPr>
      <w:r w:rsidRPr="00301868">
        <w:rPr>
          <w:rFonts w:eastAsia="Calibri"/>
          <w:color w:val="000000"/>
        </w:rPr>
        <w:t xml:space="preserve">Tuyên truyền, phổ biến chính sách, pháp luật về BHXH  thông qua tài liệu phát tay và các ấn phẩm là một trong các hoạt động truyền thông truyền thống đã mang lại hiệu quả tích cực trong lĩnh vực bảo hiểm xã hội và được các cơ quan có liên quan chú trọng thực hiện, cụ thể: </w:t>
      </w:r>
    </w:p>
    <w:p w14:paraId="2589577A" w14:textId="77777777" w:rsidR="008C1F7A" w:rsidRPr="00301868" w:rsidRDefault="008C1F7A" w:rsidP="007C2005">
      <w:pPr>
        <w:rPr>
          <w:rFonts w:eastAsia="Calibri"/>
          <w:color w:val="000000"/>
        </w:rPr>
      </w:pPr>
      <w:r w:rsidRPr="00301868">
        <w:rPr>
          <w:rFonts w:eastAsia="Calibri"/>
          <w:color w:val="000000"/>
        </w:rPr>
        <w:t xml:space="preserve">- Tiến hành biên soạn và phát hành nhiều ấn phẩm nguồn đến toàn bộ hơn 11 nghìn xã trên toàn quốc, bao gồm: Sách về những điểm mới của Luật Bảo hiểm xã hội năm 2014; Sách hỏi đáp về chính sách bảo hiểm xã hội; tờ rơi; </w:t>
      </w:r>
    </w:p>
    <w:p w14:paraId="59DDD251" w14:textId="28F69CA9" w:rsidR="008C1F7A" w:rsidRPr="00301868" w:rsidRDefault="008C1F7A" w:rsidP="007C2005">
      <w:pPr>
        <w:rPr>
          <w:rFonts w:eastAsia="Calibri"/>
          <w:color w:val="000000"/>
        </w:rPr>
      </w:pPr>
      <w:r w:rsidRPr="00301868">
        <w:rPr>
          <w:rFonts w:eastAsia="Calibri"/>
          <w:color w:val="000000"/>
        </w:rPr>
        <w:t xml:space="preserve">- Bảo hiểm xã hội Việt Nam phối hợp với Ban Tuyên giáo </w:t>
      </w:r>
      <w:r w:rsidR="002E3486" w:rsidRPr="00301868">
        <w:rPr>
          <w:rFonts w:eastAsia="Calibri"/>
          <w:color w:val="000000"/>
        </w:rPr>
        <w:t>T</w:t>
      </w:r>
      <w:r w:rsidRPr="00301868">
        <w:rPr>
          <w:rFonts w:eastAsia="Calibri"/>
          <w:color w:val="000000"/>
        </w:rPr>
        <w:t>rung ương thực hiện chuyên trang tuyên truyền chính sách BHXH, bảo hiểm y tế trên các số của Tạp chí Báo cáo viên; chuyên trang tuyên truyền chính sách BHXH, bảo hiểm y tế trên các số của bản tin Thông báo nội bộ; chuyên trang tuyên truyền về BHXH, bảo hiểm y tế trên sổ tay Báo cáo viên năm 2017.</w:t>
      </w:r>
    </w:p>
    <w:p w14:paraId="2D2B8800" w14:textId="77777777" w:rsidR="008C1F7A" w:rsidRPr="00301868" w:rsidRDefault="008C1F7A" w:rsidP="007C2005">
      <w:pPr>
        <w:rPr>
          <w:rFonts w:eastAsia="Calibri"/>
          <w:color w:val="000000"/>
        </w:rPr>
      </w:pPr>
      <w:r w:rsidRPr="00301868">
        <w:rPr>
          <w:rFonts w:eastAsia="Calibri"/>
          <w:color w:val="000000"/>
        </w:rPr>
        <w:t xml:space="preserve">Nhận thức được tầm quan trọng và thế mạnh của các cơ quan truyền thông đại chúng, các cơ quan, đơn vị thực hiện tuyên truyền, phổ biến chính sách, pháp luật về BHXH đã chủ động thực hiện các hoạt động tuyên truyền trên các phương tiện truyền thông đại chúng với các hình thức như mở chuyên đề, chuyên trang, tiểu mục giải đáp với bạn đọc những nội dung về chính sách BHXH. Các tổ chức thành viên của Mặt trận tổ quốc Việt Nam đã lồng ghép nội dung tuyên truyền, phổ biến chính sách, pháp luật về BHXH trên các chuyên </w:t>
      </w:r>
      <w:r w:rsidRPr="00301868">
        <w:rPr>
          <w:rFonts w:eastAsia="Calibri"/>
          <w:color w:val="000000"/>
        </w:rPr>
        <w:lastRenderedPageBreak/>
        <w:t xml:space="preserve">mục riêng trên đài Truyền hình Việt Nam như Tổng Liên đoàn Lao động Việt Nam với chuyên mục “Lao động và công đoàn”; Trung ương Đoàn Thanh niên Cộng sản Hồ Chí Minh với chuyên mục “Thanh niên lập nghiệp”, Hội Liên hiệp Phụ nữ Việt Nam với chuyên mục “Phụ nữ làm kinh tế giỏi”, Hội Nông dân Việt Nam với chuyên mục “Pháp luật với nhà nông”. </w:t>
      </w:r>
    </w:p>
    <w:p w14:paraId="69504A87" w14:textId="77777777" w:rsidR="008C1F7A" w:rsidRPr="00301868" w:rsidRDefault="008C1F7A" w:rsidP="007C2005">
      <w:pPr>
        <w:rPr>
          <w:rFonts w:eastAsia="Calibri"/>
          <w:color w:val="000000"/>
        </w:rPr>
      </w:pPr>
      <w:r w:rsidRPr="00301868">
        <w:rPr>
          <w:rFonts w:eastAsia="Calibri"/>
          <w:color w:val="000000"/>
        </w:rPr>
        <w:t>Đặc biệt, Cổng Thông tin điện tử của BHXH Việt</w:t>
      </w:r>
      <w:r w:rsidRPr="00301868">
        <w:rPr>
          <w:rFonts w:ascii="Arial" w:eastAsia="Calibri" w:hAnsi="Arial"/>
          <w:color w:val="000000"/>
        </w:rPr>
        <w:t xml:space="preserve"> </w:t>
      </w:r>
      <w:r w:rsidRPr="00301868">
        <w:rPr>
          <w:rFonts w:eastAsia="Calibri"/>
          <w:color w:val="000000"/>
        </w:rPr>
        <w:t>Nam đã thể hiện được vai trò là một trong những kênh thông tin</w:t>
      </w:r>
      <w:r w:rsidRPr="00301868">
        <w:rPr>
          <w:rFonts w:ascii="Arial" w:eastAsia="Calibri" w:hAnsi="Arial"/>
          <w:color w:val="000000"/>
        </w:rPr>
        <w:t xml:space="preserve"> </w:t>
      </w:r>
      <w:r w:rsidRPr="00301868">
        <w:rPr>
          <w:rFonts w:eastAsia="Calibri"/>
          <w:color w:val="000000"/>
        </w:rPr>
        <w:t xml:space="preserve">chủ lực của ngành BHXH trong tuyên truyền chính sách, pháp luật về BHXH. Cổng Thông tin điện tử của BHXH Việt Nam đã đăng tải hàng nghìn tin, bài với nội dung tập trung phản ánh các kết quả thực hiện </w:t>
      </w:r>
      <w:r w:rsidRPr="00301868">
        <w:rPr>
          <w:rFonts w:eastAsia="Calibri"/>
        </w:rPr>
        <w:t xml:space="preserve">Luật BHXH 2014. </w:t>
      </w:r>
      <w:r w:rsidRPr="00301868">
        <w:rPr>
          <w:rFonts w:eastAsia="Calibri"/>
          <w:color w:val="000000"/>
        </w:rPr>
        <w:t xml:space="preserve">Đặc biệt năm 2019, Cổng Thông tin điện tử của BHXH Việt Nam đã xây dựng, vận hành Fanpage BHXH Việt Nam trên Facebook nhằm tăng hiệu quả tuyên truyền, phổ biến chính sách BHXH, bảo hiểm thất nghiệp. Qua đó, góp phần đẩy mạnh công tác truyền thông về chính sách BHXH tới người dân, đặc biệt là lực lượng lao động trẻ. </w:t>
      </w:r>
    </w:p>
    <w:p w14:paraId="0C7246CB" w14:textId="4AEC4277" w:rsidR="008C1F7A" w:rsidRPr="00301868" w:rsidRDefault="008C1F7A" w:rsidP="007C2005">
      <w:pPr>
        <w:pStyle w:val="Heading3"/>
        <w:rPr>
          <w:rFonts w:eastAsia="Calibri"/>
        </w:rPr>
      </w:pPr>
      <w:bookmarkStart w:id="16" w:name="_Toc63186685"/>
      <w:r w:rsidRPr="00301868">
        <w:rPr>
          <w:rFonts w:eastAsia="Calibri"/>
        </w:rPr>
        <w:t>2.2</w:t>
      </w:r>
      <w:r w:rsidR="007C2005" w:rsidRPr="00301868">
        <w:rPr>
          <w:rFonts w:eastAsia="Calibri"/>
        </w:rPr>
        <w:t>.</w:t>
      </w:r>
      <w:r w:rsidRPr="00301868">
        <w:rPr>
          <w:rFonts w:eastAsia="Calibri"/>
        </w:rPr>
        <w:t xml:space="preserve"> Những hạn chế, vướng mắc trong tuyên truyền, phổ biến chính sách, pháp luật về BHXH</w:t>
      </w:r>
      <w:bookmarkEnd w:id="16"/>
    </w:p>
    <w:p w14:paraId="3ED488F7" w14:textId="77777777" w:rsidR="008C1F7A" w:rsidRPr="00301868" w:rsidRDefault="008C1F7A" w:rsidP="007C2005">
      <w:pPr>
        <w:rPr>
          <w:rFonts w:eastAsia="Calibri"/>
        </w:rPr>
      </w:pPr>
      <w:r w:rsidRPr="00301868">
        <w:rPr>
          <w:rFonts w:eastAsia="Calibri"/>
        </w:rPr>
        <w:t xml:space="preserve">Mặc dù đã đạt được những kết quả nhất định nhưng công tác tuyên truyền, phổ biến chính sách, pháp luật về BHXH cho cơ quan, tổ chức, các doanh nghiệp, người lao động và người dân ở một số địa phương còn nhiều bất cập, bao gồm: </w:t>
      </w:r>
    </w:p>
    <w:p w14:paraId="1677992F" w14:textId="77777777" w:rsidR="008C1F7A" w:rsidRPr="00301868" w:rsidRDefault="008C1F7A" w:rsidP="007C2005">
      <w:pPr>
        <w:rPr>
          <w:rFonts w:eastAsia="Calibri"/>
        </w:rPr>
      </w:pPr>
      <w:r w:rsidRPr="00301868">
        <w:rPr>
          <w:rFonts w:eastAsia="Calibri"/>
        </w:rPr>
        <w:t xml:space="preserve">- Chưa xác định đúng tầm quan trọng của công tác tuyên truyền, phổ biến và giáo dục pháp luật về BHXH nên việc triển khai thực hiện chưa đồng bộ, đầu tư nguồn lực con người và tài chính cho công tác này chưa tương xứng với yêu cầu, nhiệm vụ trong khi hầu hết các địa phương đều báo cáo là đội ngũ tuyên truyền viên về BHXH của họ chưa được tập huấn bài bản về kiến thức và kỹ năng tuyên truyền và nguồn kinh phí dành cho công tác này hoàn toàn dựa vào nguồn ngân sách rất hạn hẹp của địa phương; </w:t>
      </w:r>
    </w:p>
    <w:p w14:paraId="7555A5CA" w14:textId="77777777" w:rsidR="008C1F7A" w:rsidRPr="00301868" w:rsidRDefault="008C1F7A" w:rsidP="007C2005">
      <w:pPr>
        <w:rPr>
          <w:rFonts w:eastAsia="Calibri"/>
        </w:rPr>
      </w:pPr>
      <w:r w:rsidRPr="00301868">
        <w:rPr>
          <w:rFonts w:eastAsia="Calibri"/>
        </w:rPr>
        <w:t xml:space="preserve">- Công tác tuyên truyền, phổ biến chính sách, pháp luật về BHXH chưa được tiến hành thường xuyên, nhiều địa phương thường chỉ tập trung tổ chức vào thời điểm Luật BHXH 2014 hoặc văn bản quy phạm pháp luật mới ban hành, trong khi việc phát triển đối tượng tham gia BHXH cũng như sự dời bỏ hệ thống của người lao động thông qua việc hưởng chế độ BHXH 1 lần xảy ra hàng ngày; </w:t>
      </w:r>
    </w:p>
    <w:p w14:paraId="5B6B32C6" w14:textId="3875A115" w:rsidR="008C1F7A" w:rsidRPr="00301868" w:rsidRDefault="008C1F7A" w:rsidP="007C2005">
      <w:pPr>
        <w:rPr>
          <w:rFonts w:eastAsia="Calibri"/>
        </w:rPr>
      </w:pPr>
      <w:r w:rsidRPr="00301868">
        <w:rPr>
          <w:rFonts w:eastAsia="Calibri"/>
        </w:rPr>
        <w:t xml:space="preserve">- Đối tượng được tuyên truyền, phổ biến và giáo dục về pháp luật BHXH còn hạn hẹp, mới chỉ tập trung ở các khu đô thị, khu công nghiệp, các doanh nghiệp lớn và khu vực việc làm chính thức; còn rất hạn chế ở các khu vực nông thôn, vùng sâu, vùng xa, trong các doanh nghiệp vừa và nhỏ, đặc biệt ở các làng nghề và khu vực việc làm phi chính thức </w:t>
      </w:r>
      <w:r w:rsidR="00CB18DF" w:rsidRPr="00301868">
        <w:rPr>
          <w:rFonts w:eastAsia="Calibri"/>
        </w:rPr>
        <w:t>-</w:t>
      </w:r>
      <w:r w:rsidRPr="00301868">
        <w:rPr>
          <w:rFonts w:eastAsia="Calibri"/>
        </w:rPr>
        <w:t xml:space="preserve"> những nơi mà việc phát triển đối tượng rất cần được quan tâm. </w:t>
      </w:r>
    </w:p>
    <w:p w14:paraId="03F018EA" w14:textId="77777777" w:rsidR="008C1F7A" w:rsidRPr="00301868" w:rsidRDefault="008C1F7A" w:rsidP="007C2005">
      <w:pPr>
        <w:rPr>
          <w:rFonts w:eastAsia="Calibri"/>
        </w:rPr>
      </w:pPr>
      <w:r w:rsidRPr="00301868">
        <w:rPr>
          <w:rFonts w:eastAsia="Calibri"/>
        </w:rPr>
        <w:lastRenderedPageBreak/>
        <w:t xml:space="preserve">- Nhận thức về ý nghĩa và lợi ích của việc tham gia BHXH của một bộ phận doanh nghiệp, người lao động và người dân còn rất hạn chế do thiếu hiểu biết về chính sách, pháp luật về BHXH cũng như thiếu niềm tin vào hệ thống. </w:t>
      </w:r>
    </w:p>
    <w:p w14:paraId="51768D9E" w14:textId="440BBF6C" w:rsidR="008C1F7A" w:rsidRPr="00301868" w:rsidRDefault="008C1F7A" w:rsidP="007C2005">
      <w:pPr>
        <w:pStyle w:val="Heading3"/>
        <w:rPr>
          <w:rFonts w:eastAsia="Calibri"/>
        </w:rPr>
      </w:pPr>
      <w:bookmarkStart w:id="17" w:name="_Toc63186686"/>
      <w:r w:rsidRPr="00301868">
        <w:rPr>
          <w:rFonts w:eastAsia="Calibri"/>
        </w:rPr>
        <w:t>2.3</w:t>
      </w:r>
      <w:r w:rsidR="007C2005" w:rsidRPr="00301868">
        <w:rPr>
          <w:rFonts w:eastAsia="Calibri"/>
        </w:rPr>
        <w:t>.</w:t>
      </w:r>
      <w:r w:rsidRPr="00301868">
        <w:rPr>
          <w:rFonts w:eastAsia="Calibri"/>
        </w:rPr>
        <w:t xml:space="preserve"> Các giải pháp để tuyên truyền, phổ biến hiệu quả chính sách, pháp luật về BHXH</w:t>
      </w:r>
      <w:bookmarkEnd w:id="17"/>
      <w:r w:rsidRPr="00301868">
        <w:rPr>
          <w:rFonts w:eastAsia="Calibri"/>
        </w:rPr>
        <w:t xml:space="preserve"> </w:t>
      </w:r>
    </w:p>
    <w:p w14:paraId="147B5FD9" w14:textId="77777777" w:rsidR="008C1F7A" w:rsidRPr="00301868" w:rsidRDefault="008C1F7A" w:rsidP="007C2005">
      <w:pPr>
        <w:rPr>
          <w:rFonts w:eastAsia="Calibri"/>
        </w:rPr>
      </w:pPr>
      <w:r w:rsidRPr="00301868">
        <w:rPr>
          <w:rFonts w:eastAsia="Calibri"/>
        </w:rPr>
        <w:t xml:space="preserve">- Cần có kế hoạch tổng thể về tuyên truyền, phổ biến chính sách, pháp luật về BHXH cho từng giai đoạn và kế hoạch chi tiết cho từng năm trong toàn hệ thống tổ chức BHXH để có thể tận dụng tối đa nguồn kinh phí hạn hẹp của các địa phương và kinh phí từ nguồn quỹ BHXH dành cho công tác tuyên truyền, phổ biến chính sách, pháp luật. </w:t>
      </w:r>
    </w:p>
    <w:p w14:paraId="4003E743" w14:textId="279F0536" w:rsidR="008C1F7A" w:rsidRPr="00301868" w:rsidRDefault="008C1F7A" w:rsidP="007C2005">
      <w:pPr>
        <w:rPr>
          <w:rFonts w:eastAsia="Calibri"/>
        </w:rPr>
      </w:pPr>
      <w:r w:rsidRPr="00301868">
        <w:rPr>
          <w:rFonts w:eastAsia="Calibri"/>
        </w:rPr>
        <w:t xml:space="preserve"> - Làm rõ vai trò chủ chốt của BHXH VN trong công tác tuyên truyền, phổ biến chính sách, pháp luật về BHXH để hỗ trợ cơ quan quản lý Nhà nước về BHXH trong việc tạo được sự đồng thuận lớn trong xã hội khi có những điều chỉnh và sửa đổi chính sách về BHXH trong những năm sắp tới, cũng như nâng cao nhận thức của người dân và các bên liên quan về trách nhiệm và nghĩa vụ tham gia BHXH.</w:t>
      </w:r>
    </w:p>
    <w:p w14:paraId="56002792" w14:textId="77777777" w:rsidR="008C1F7A" w:rsidRPr="00301868" w:rsidRDefault="008C1F7A" w:rsidP="007C2005">
      <w:pPr>
        <w:rPr>
          <w:rFonts w:eastAsia="Calibri"/>
        </w:rPr>
      </w:pPr>
      <w:r w:rsidRPr="00301868">
        <w:rPr>
          <w:rFonts w:eastAsia="Calibri"/>
        </w:rPr>
        <w:t xml:space="preserve">- Tăng cường số lượng và nâng cao chất lượng của đội ngũ cán bộ làm công tác tuyên truyền, phổ biến pháo luật về BHXH thông qua việc hình thành một bộ phận (Ban hoặc Phòng) riêng chịu trách nhiệm về quan hệ công chúng/chăm sóc khách hàng mà các công ty/doanh nghiệp bảo hiểm thương mại đều có. </w:t>
      </w:r>
    </w:p>
    <w:p w14:paraId="5D1A9A56" w14:textId="77777777" w:rsidR="008C1F7A" w:rsidRPr="00301868" w:rsidRDefault="008C1F7A" w:rsidP="007C2005">
      <w:pPr>
        <w:pStyle w:val="Heading1"/>
        <w:rPr>
          <w:rFonts w:eastAsia="Calibri"/>
        </w:rPr>
      </w:pPr>
      <w:bookmarkStart w:id="18" w:name="_Toc63186687"/>
      <w:r w:rsidRPr="00301868">
        <w:rPr>
          <w:rFonts w:eastAsia="Calibri"/>
        </w:rPr>
        <w:t>Phần thứ ba</w:t>
      </w:r>
      <w:bookmarkEnd w:id="18"/>
    </w:p>
    <w:p w14:paraId="609FBC6B" w14:textId="77777777" w:rsidR="008C1F7A" w:rsidRPr="00301868" w:rsidRDefault="008C1F7A" w:rsidP="008C1F7A">
      <w:pPr>
        <w:spacing w:after="0" w:line="240" w:lineRule="auto"/>
        <w:ind w:firstLine="0"/>
        <w:jc w:val="center"/>
        <w:rPr>
          <w:rFonts w:eastAsia="Calibri"/>
          <w:b/>
        </w:rPr>
      </w:pPr>
      <w:r w:rsidRPr="00301868">
        <w:rPr>
          <w:rFonts w:eastAsia="Calibri"/>
          <w:b/>
        </w:rPr>
        <w:t>TÌNH HÌNH THỰC HIỆN LUẬT BHXH 2014</w:t>
      </w:r>
    </w:p>
    <w:p w14:paraId="6B0C3347" w14:textId="77777777" w:rsidR="008C1F7A" w:rsidRPr="00301868" w:rsidRDefault="008C1F7A" w:rsidP="008C1F7A">
      <w:pPr>
        <w:spacing w:after="0" w:line="240" w:lineRule="auto"/>
        <w:rPr>
          <w:rFonts w:eastAsia="Calibri"/>
          <w:sz w:val="24"/>
          <w:szCs w:val="24"/>
        </w:rPr>
      </w:pPr>
    </w:p>
    <w:p w14:paraId="4E1825E6" w14:textId="6F85900B" w:rsidR="008C1F7A" w:rsidRPr="00301868" w:rsidRDefault="008C1F7A" w:rsidP="007C2005">
      <w:pPr>
        <w:pStyle w:val="Heading2"/>
        <w:rPr>
          <w:rFonts w:eastAsia="Calibri"/>
        </w:rPr>
      </w:pPr>
      <w:bookmarkStart w:id="19" w:name="_Toc63186688"/>
      <w:r w:rsidRPr="00301868">
        <w:rPr>
          <w:rFonts w:eastAsia="Calibri"/>
        </w:rPr>
        <w:t>I. PHÁT TRIỂN ĐỐI TƯỢNG THAM GIA BHXH GIAI ĐOẠN 2016</w:t>
      </w:r>
      <w:r w:rsidR="007B40F9" w:rsidRPr="00301868">
        <w:rPr>
          <w:rFonts w:eastAsia="Calibri"/>
        </w:rPr>
        <w:t xml:space="preserve"> </w:t>
      </w:r>
      <w:r w:rsidRPr="00301868">
        <w:rPr>
          <w:rFonts w:eastAsia="Calibri"/>
        </w:rPr>
        <w:t>-</w:t>
      </w:r>
      <w:r w:rsidR="007B40F9" w:rsidRPr="00301868">
        <w:rPr>
          <w:rFonts w:eastAsia="Calibri"/>
        </w:rPr>
        <w:t xml:space="preserve"> </w:t>
      </w:r>
      <w:r w:rsidRPr="00301868">
        <w:rPr>
          <w:rFonts w:eastAsia="Calibri"/>
        </w:rPr>
        <w:t>20</w:t>
      </w:r>
      <w:r w:rsidR="007B40F9" w:rsidRPr="00301868">
        <w:rPr>
          <w:rFonts w:eastAsia="Calibri"/>
        </w:rPr>
        <w:t>20</w:t>
      </w:r>
      <w:bookmarkEnd w:id="19"/>
    </w:p>
    <w:p w14:paraId="431C5165" w14:textId="5FC4BE25" w:rsidR="008C1F7A" w:rsidRPr="00301868" w:rsidRDefault="00176ED2" w:rsidP="007C2005">
      <w:pPr>
        <w:rPr>
          <w:rFonts w:eastAsia="Calibri"/>
        </w:rPr>
      </w:pPr>
      <w:r w:rsidRPr="00301868">
        <w:rPr>
          <w:rFonts w:eastAsia="Calibri"/>
        </w:rPr>
        <w:t xml:space="preserve">Nhằm mở rộng đối tượng tham gia BHXH hướng tới </w:t>
      </w:r>
      <w:r w:rsidR="008C1F7A" w:rsidRPr="00301868">
        <w:rPr>
          <w:rFonts w:eastAsia="Calibri"/>
        </w:rPr>
        <w:t>mục tiêu “</w:t>
      </w:r>
      <w:r w:rsidR="008C1F7A" w:rsidRPr="00301868">
        <w:rPr>
          <w:rFonts w:eastAsia="Calibri"/>
          <w:i/>
        </w:rPr>
        <w:t>phấn đấu đến năm 2020 có khoảng 50% lực lượng lao động tham gia bảo hiểm xã hội</w:t>
      </w:r>
      <w:r w:rsidR="008C1F7A" w:rsidRPr="00301868">
        <w:rPr>
          <w:rFonts w:eastAsia="Calibri"/>
        </w:rPr>
        <w:t>”</w:t>
      </w:r>
      <w:r w:rsidRPr="00301868">
        <w:rPr>
          <w:rStyle w:val="FootnoteReference"/>
          <w:rFonts w:eastAsia="Calibri"/>
        </w:rPr>
        <w:footnoteReference w:id="6"/>
      </w:r>
      <w:r w:rsidR="00EC066E" w:rsidRPr="00301868">
        <w:rPr>
          <w:rFonts w:eastAsia="Calibri"/>
        </w:rPr>
        <w:t>,</w:t>
      </w:r>
      <w:r w:rsidR="008C1F7A" w:rsidRPr="00301868">
        <w:rPr>
          <w:rFonts w:eastAsia="Calibri"/>
        </w:rPr>
        <w:t xml:space="preserve"> Luật BHXH 2014 đã quy định mở rộng đối tượng đối với BHXH bắt buộc đến (i) người làm việc theo hợp đồng lao động có thời hạn từ đủ 01 tháng đến dưới 03 tháng; (ii) người hoạt động không chuyên trách ở xã, phường, thị trấn; và (iii) người lao động là công dân nước ngoài vào làm việc tại Việt Nam có giấy phép lao động hoặc chứng chỉ hành nghề hoặc giấy phép hành nghề do cơ quan có thẩm quyền của Việt Nam cấp</w:t>
      </w:r>
      <w:r w:rsidR="00EC066E" w:rsidRPr="00301868">
        <w:rPr>
          <w:rFonts w:eastAsia="Calibri"/>
        </w:rPr>
        <w:t xml:space="preserve">; mở rộng đối tượng tham gia BHXH tự nguyện đối với người trên 60 tuổi đối với nam, trên 55 tuổi dối với nữ; hỗ trợ tiền đóng </w:t>
      </w:r>
      <w:r w:rsidR="00EC066E" w:rsidRPr="00301868">
        <w:rPr>
          <w:rFonts w:eastAsia="Calibri"/>
        </w:rPr>
        <w:lastRenderedPageBreak/>
        <w:t>BHXH cho người tham gia BHXH tự nguyện</w:t>
      </w:r>
      <w:r w:rsidR="008C1F7A" w:rsidRPr="00301868">
        <w:rPr>
          <w:rFonts w:eastAsia="Calibri"/>
        </w:rPr>
        <w:t xml:space="preserve">. </w:t>
      </w:r>
      <w:r w:rsidR="00F71DD8" w:rsidRPr="00301868">
        <w:rPr>
          <w:rFonts w:eastAsia="Calibri"/>
        </w:rPr>
        <w:t>T</w:t>
      </w:r>
      <w:r w:rsidR="008C1F7A" w:rsidRPr="00301868">
        <w:rPr>
          <w:rFonts w:eastAsia="Calibri"/>
        </w:rPr>
        <w:t xml:space="preserve">heo </w:t>
      </w:r>
      <w:r w:rsidR="00D41EDE" w:rsidRPr="00301868">
        <w:rPr>
          <w:rFonts w:eastAsia="Calibri"/>
        </w:rPr>
        <w:t xml:space="preserve">quy định của </w:t>
      </w:r>
      <w:r w:rsidR="008C1F7A" w:rsidRPr="00301868">
        <w:rPr>
          <w:rFonts w:eastAsia="Calibri"/>
        </w:rPr>
        <w:t>Luật BHXH 2014</w:t>
      </w:r>
      <w:r w:rsidR="00D41EDE" w:rsidRPr="00301868">
        <w:rPr>
          <w:rFonts w:eastAsia="Calibri"/>
        </w:rPr>
        <w:t xml:space="preserve"> thì</w:t>
      </w:r>
      <w:r w:rsidR="008C1F7A" w:rsidRPr="00301868">
        <w:rPr>
          <w:rFonts w:eastAsia="Calibri"/>
        </w:rPr>
        <w:t xml:space="preserve"> </w:t>
      </w:r>
      <w:r w:rsidR="00D41EDE" w:rsidRPr="00301868">
        <w:rPr>
          <w:rFonts w:eastAsia="Calibri"/>
        </w:rPr>
        <w:t xml:space="preserve">về mặt </w:t>
      </w:r>
      <w:r w:rsidR="008C1F7A" w:rsidRPr="00301868">
        <w:rPr>
          <w:rFonts w:eastAsia="Calibri"/>
        </w:rPr>
        <w:t>chính sách</w:t>
      </w:r>
      <w:r w:rsidR="00D41EDE" w:rsidRPr="00301868">
        <w:rPr>
          <w:rFonts w:eastAsia="Calibri"/>
        </w:rPr>
        <w:t>, BHXH</w:t>
      </w:r>
      <w:r w:rsidR="008C1F7A" w:rsidRPr="00301868">
        <w:rPr>
          <w:rFonts w:eastAsia="Calibri"/>
        </w:rPr>
        <w:t xml:space="preserve"> cả bắt buộc và </w:t>
      </w:r>
      <w:r w:rsidR="00D41EDE" w:rsidRPr="00301868">
        <w:rPr>
          <w:rFonts w:eastAsia="Calibri"/>
        </w:rPr>
        <w:t xml:space="preserve">BHXH </w:t>
      </w:r>
      <w:r w:rsidR="008C1F7A" w:rsidRPr="00301868">
        <w:rPr>
          <w:rFonts w:eastAsia="Calibri"/>
        </w:rPr>
        <w:t>tự nguyện đã bao phủ toàn bộ lực lượng lao động</w:t>
      </w:r>
      <w:r w:rsidR="008C1F7A" w:rsidRPr="00301868">
        <w:rPr>
          <w:rFonts w:eastAsia="Calibri"/>
          <w:vertAlign w:val="superscript"/>
          <w:lang w:val="en-US"/>
        </w:rPr>
        <w:footnoteReference w:id="7"/>
      </w:r>
      <w:r w:rsidR="008C1F7A" w:rsidRPr="00301868">
        <w:rPr>
          <w:rFonts w:eastAsia="Calibri"/>
        </w:rPr>
        <w:t xml:space="preserve">.  </w:t>
      </w:r>
    </w:p>
    <w:p w14:paraId="234F1CFF" w14:textId="7417951C" w:rsidR="008C1F7A" w:rsidRPr="00301868" w:rsidRDefault="008C1F7A" w:rsidP="007C2005">
      <w:pPr>
        <w:pStyle w:val="Heading3"/>
      </w:pPr>
      <w:bookmarkStart w:id="20" w:name="_Toc63186689"/>
      <w:r w:rsidRPr="00301868">
        <w:t>1.1</w:t>
      </w:r>
      <w:r w:rsidR="007C2005" w:rsidRPr="00301868">
        <w:t>.</w:t>
      </w:r>
      <w:r w:rsidRPr="00301868">
        <w:t xml:space="preserve"> Tình hình phát triển đối tượng tham gia BHXH</w:t>
      </w:r>
      <w:bookmarkEnd w:id="20"/>
      <w:r w:rsidRPr="00301868">
        <w:t xml:space="preserve"> </w:t>
      </w:r>
    </w:p>
    <w:p w14:paraId="63CA637A" w14:textId="5EE15768" w:rsidR="00D65C30" w:rsidRPr="00301868" w:rsidRDefault="00D65C30" w:rsidP="002A30AA">
      <w:pPr>
        <w:pStyle w:val="Heading4"/>
        <w:rPr>
          <w:rFonts w:eastAsia="Calibri"/>
        </w:rPr>
      </w:pPr>
      <w:r w:rsidRPr="00301868">
        <w:rPr>
          <w:rFonts w:eastAsia="Calibri"/>
        </w:rPr>
        <w:t>a) Về đối tượng tham gia BHXH qua các năm:</w:t>
      </w:r>
    </w:p>
    <w:p w14:paraId="680B65FF" w14:textId="31173EA1" w:rsidR="005206BD" w:rsidRPr="00301868" w:rsidRDefault="00E818FC" w:rsidP="00884499">
      <w:pPr>
        <w:rPr>
          <w:rFonts w:eastAsia="Calibri"/>
        </w:rPr>
      </w:pPr>
      <w:r w:rsidRPr="00301868">
        <w:rPr>
          <w:rFonts w:eastAsia="Calibri"/>
        </w:rPr>
        <w:t xml:space="preserve">Ước tính đến cuối năm 2020, có khoảng 16,05 triệu người tham gia BHXH, </w:t>
      </w:r>
      <w:r w:rsidR="002C3582" w:rsidRPr="00301868">
        <w:rPr>
          <w:rFonts w:eastAsia="Calibri"/>
        </w:rPr>
        <w:t xml:space="preserve">chiếm 32,9% lực lượng lao động (LLLĐ) trong độ tuổi. Sau 5 năm thực hiện Luật, số người tham gia BHXH </w:t>
      </w:r>
      <w:r w:rsidRPr="00301868">
        <w:rPr>
          <w:rFonts w:eastAsia="Calibri"/>
        </w:rPr>
        <w:t>tăng gần 3,76 triệu người (tương ứng với 30,6%)</w:t>
      </w:r>
      <w:r w:rsidR="00134650" w:rsidRPr="00301868">
        <w:rPr>
          <w:rFonts w:eastAsia="Calibri"/>
        </w:rPr>
        <w:t xml:space="preserve"> so với cuối năm 2015</w:t>
      </w:r>
      <w:r w:rsidR="002C3582" w:rsidRPr="00301868">
        <w:rPr>
          <w:rFonts w:eastAsia="Calibri"/>
        </w:rPr>
        <w:t>;</w:t>
      </w:r>
      <w:r w:rsidR="0076109E" w:rsidRPr="00301868">
        <w:rPr>
          <w:rFonts w:eastAsia="Calibri"/>
        </w:rPr>
        <w:t xml:space="preserve"> tốc độ phát triển đối tượng trung bình hằng năm là 5,5%</w:t>
      </w:r>
      <w:r w:rsidR="002C3582" w:rsidRPr="00301868">
        <w:rPr>
          <w:rFonts w:eastAsia="Calibri"/>
        </w:rPr>
        <w:t>; trong đó:</w:t>
      </w:r>
    </w:p>
    <w:p w14:paraId="36841149" w14:textId="47C2F447" w:rsidR="002C3582" w:rsidRPr="00301868" w:rsidRDefault="001421DA" w:rsidP="00884499">
      <w:pPr>
        <w:rPr>
          <w:rFonts w:eastAsia="Calibri"/>
        </w:rPr>
      </w:pPr>
      <w:r w:rsidRPr="00301868">
        <w:rPr>
          <w:rFonts w:eastAsia="Calibri"/>
        </w:rPr>
        <w:t xml:space="preserve">- Số người tham gia BHXH bắt buộc </w:t>
      </w:r>
      <w:r w:rsidR="008D41DF" w:rsidRPr="00301868">
        <w:rPr>
          <w:rFonts w:eastAsia="Calibri"/>
        </w:rPr>
        <w:t>là 15,03 triệu người, chiếm 30,8% LLLĐ trong độ tuổi, tăng gần 3 triệu người (tương ứng 24,5%) so với cuối năm 2015; tốc độ phát triển đối tượng trung bình hằng năm là 4,5%;</w:t>
      </w:r>
    </w:p>
    <w:p w14:paraId="5CF0A351" w14:textId="1650C570" w:rsidR="008D41DF" w:rsidRPr="00301868" w:rsidRDefault="008D41DF" w:rsidP="00884499">
      <w:pPr>
        <w:rPr>
          <w:rFonts w:eastAsia="Calibri"/>
        </w:rPr>
      </w:pPr>
      <w:r w:rsidRPr="00301868">
        <w:rPr>
          <w:rFonts w:eastAsia="Calibri"/>
        </w:rPr>
        <w:t>- Số người tham gia BHXH tự nguyện là 1,01 triệu người, chiếm 2,1% LLLĐ trong độ tuổ</w:t>
      </w:r>
      <w:r w:rsidR="00134650" w:rsidRPr="00301868">
        <w:rPr>
          <w:rFonts w:eastAsia="Calibri"/>
        </w:rPr>
        <w:t>i, tăng gần 800 nghìn người (tương ứng với 4,6 lần) so với cuối năm 2015; tốc độ phát triển đối tượng trung bình hằng năm là 36%.</w:t>
      </w:r>
    </w:p>
    <w:p w14:paraId="33B30825" w14:textId="330A0D45" w:rsidR="0017509F" w:rsidRPr="00301868" w:rsidRDefault="0017509F" w:rsidP="00884499">
      <w:pPr>
        <w:rPr>
          <w:rFonts w:eastAsia="Calibri"/>
          <w:i/>
        </w:rPr>
      </w:pPr>
      <w:r w:rsidRPr="00301868">
        <w:rPr>
          <w:rFonts w:eastAsia="Calibri"/>
          <w:i/>
        </w:rPr>
        <w:t>(Chi tiết tại Phụ lục III)</w:t>
      </w:r>
    </w:p>
    <w:p w14:paraId="23ABDB4C" w14:textId="09C72DE9" w:rsidR="00C70C75" w:rsidRPr="00301868" w:rsidRDefault="00C70C75" w:rsidP="00884499">
      <w:pPr>
        <w:rPr>
          <w:rFonts w:eastAsia="Calibri"/>
        </w:rPr>
      </w:pPr>
      <w:r w:rsidRPr="00301868">
        <w:rPr>
          <w:rFonts w:eastAsia="Calibri"/>
        </w:rPr>
        <w:t>Giai đoạn 2016 - 2020, đối tượng tham gia BHXH chung đều tăng qua các năm, nhưng có một số năm có sự tăng hoặc giảm đột xuất do sự điều chỉnh chính sách, điều chỉnh phương thức thực hiện hoặc do yếu tố khách quan, cụ thể như sau:</w:t>
      </w:r>
    </w:p>
    <w:p w14:paraId="39390090" w14:textId="59B09069" w:rsidR="00C70C75" w:rsidRPr="00301868" w:rsidRDefault="00C70C75" w:rsidP="00884499">
      <w:pPr>
        <w:rPr>
          <w:rFonts w:eastAsia="Calibri"/>
        </w:rPr>
      </w:pPr>
      <w:r w:rsidRPr="00301868">
        <w:rPr>
          <w:rFonts w:eastAsia="Calibri"/>
        </w:rPr>
        <w:t>- Năm 2016, đối tượng tham gia BHXH tự nguyện giảm 6,3% so với năm trước do có sự điều chỉnh về chính sách nên nhóm đối tượng là người làm việc không chuyên trách ở cấp xã chuyển từ tham gia BHXH tự nguyện sang tham gia BHXH bắt buộc</w:t>
      </w:r>
      <w:r w:rsidR="00EA021A" w:rsidRPr="00301868">
        <w:rPr>
          <w:rStyle w:val="FootnoteReference"/>
          <w:rFonts w:eastAsia="Calibri"/>
        </w:rPr>
        <w:footnoteReference w:id="8"/>
      </w:r>
      <w:r w:rsidRPr="00301868">
        <w:rPr>
          <w:rFonts w:eastAsia="Calibri"/>
        </w:rPr>
        <w:t>.</w:t>
      </w:r>
    </w:p>
    <w:p w14:paraId="65A0ECCD" w14:textId="68570637" w:rsidR="00EA021A" w:rsidRPr="00301868" w:rsidRDefault="00EA021A" w:rsidP="00884499">
      <w:pPr>
        <w:rPr>
          <w:rFonts w:eastAsia="Calibri"/>
        </w:rPr>
      </w:pPr>
      <w:r w:rsidRPr="00301868">
        <w:rPr>
          <w:rFonts w:eastAsia="Calibri"/>
        </w:rPr>
        <w:t>- Năm 2019 và năm 2020, số đối tượng tham gia BHXH tự nguyện tăng đột biến (gần gấp đôi so với năm trước liền kề) do có sự thay đổi về chính sách hỗ trợ tiền đóng BHXH cho người tham gia BHXH tự nguyện</w:t>
      </w:r>
      <w:r w:rsidR="00FF061B" w:rsidRPr="00301868">
        <w:rPr>
          <w:rStyle w:val="FootnoteReference"/>
          <w:rFonts w:eastAsia="Calibri"/>
        </w:rPr>
        <w:footnoteReference w:id="9"/>
      </w:r>
      <w:r w:rsidRPr="00301868">
        <w:rPr>
          <w:rFonts w:eastAsia="Calibri"/>
        </w:rPr>
        <w:t xml:space="preserve"> và đổi mới phương thức triển khai thực hiện</w:t>
      </w:r>
      <w:r w:rsidR="00696D1E" w:rsidRPr="00301868">
        <w:rPr>
          <w:rStyle w:val="FootnoteReference"/>
          <w:rFonts w:eastAsia="Calibri"/>
        </w:rPr>
        <w:footnoteReference w:id="10"/>
      </w:r>
      <w:r w:rsidRPr="00301868">
        <w:rPr>
          <w:rFonts w:eastAsia="Calibri"/>
        </w:rPr>
        <w:t>.</w:t>
      </w:r>
    </w:p>
    <w:p w14:paraId="6D965720" w14:textId="65B3DCE2" w:rsidR="003F08D2" w:rsidRPr="00301868" w:rsidRDefault="003F08D2" w:rsidP="00884499">
      <w:pPr>
        <w:rPr>
          <w:rFonts w:eastAsia="Calibri"/>
        </w:rPr>
      </w:pPr>
      <w:r w:rsidRPr="00301868">
        <w:rPr>
          <w:rFonts w:eastAsia="Calibri"/>
        </w:rPr>
        <w:t>- Năm 2020, số người tham gia BHXH bắt buộc lần đầu tiên giảm</w:t>
      </w:r>
      <w:r w:rsidR="007C688D" w:rsidRPr="00301868">
        <w:rPr>
          <w:rFonts w:eastAsia="Calibri"/>
        </w:rPr>
        <w:t xml:space="preserve"> so với năm trước liền kề (giảm 1,1%)</w:t>
      </w:r>
      <w:r w:rsidRPr="00301868">
        <w:rPr>
          <w:rFonts w:eastAsia="Calibri"/>
        </w:rPr>
        <w:t xml:space="preserve"> kể từ khi thực hiện chính sách này theo nguyên </w:t>
      </w:r>
      <w:r w:rsidRPr="00301868">
        <w:rPr>
          <w:rFonts w:eastAsia="Calibri"/>
        </w:rPr>
        <w:lastRenderedPageBreak/>
        <w:t>tắc đóng - hưởng (từ năm 1995).</w:t>
      </w:r>
      <w:r w:rsidR="007C688D" w:rsidRPr="00301868">
        <w:rPr>
          <w:rFonts w:eastAsia="Calibri"/>
        </w:rPr>
        <w:t xml:space="preserve"> Nguyên nhân là do đại dịch Covid-19 ảnh hưởng tới tình hình sản xuất, kinh doanh của một số doanh nghiệp dẫn đến tình trạng thiếu việc làm và thất nghiệp cục bộ trên toàn quốc.</w:t>
      </w:r>
    </w:p>
    <w:p w14:paraId="46915E34" w14:textId="6955004D" w:rsidR="00155984" w:rsidRPr="00301868" w:rsidRDefault="00D65C30" w:rsidP="002A30AA">
      <w:pPr>
        <w:pStyle w:val="Heading4"/>
        <w:rPr>
          <w:rFonts w:eastAsia="Calibri"/>
        </w:rPr>
      </w:pPr>
      <w:r w:rsidRPr="00301868">
        <w:rPr>
          <w:rFonts w:eastAsia="Calibri"/>
        </w:rPr>
        <w:t xml:space="preserve">b) </w:t>
      </w:r>
      <w:r w:rsidR="00155984" w:rsidRPr="00301868">
        <w:rPr>
          <w:rFonts w:eastAsia="Calibri"/>
        </w:rPr>
        <w:t>Tình hình tham gia BHXH của một số nhóm đối tượng</w:t>
      </w:r>
    </w:p>
    <w:p w14:paraId="60A093C6" w14:textId="77777777" w:rsidR="00D21538" w:rsidRPr="00301868" w:rsidRDefault="00155984" w:rsidP="00155984">
      <w:pPr>
        <w:rPr>
          <w:rFonts w:eastAsia="Calibri"/>
          <w:lang w:val="vi-VN"/>
        </w:rPr>
      </w:pPr>
      <w:r w:rsidRPr="00301868">
        <w:rPr>
          <w:rFonts w:eastAsia="Calibri"/>
        </w:rPr>
        <w:t>- Nhóm mới được bổ sung vào Luật BHXH</w:t>
      </w:r>
      <w:r w:rsidR="00D21538" w:rsidRPr="00301868">
        <w:rPr>
          <w:rFonts w:eastAsia="Calibri"/>
          <w:lang w:val="vi-VN"/>
        </w:rPr>
        <w:t>:</w:t>
      </w:r>
    </w:p>
    <w:p w14:paraId="0A95C546" w14:textId="2ED55146" w:rsidR="00236874" w:rsidRPr="00301868" w:rsidRDefault="00236874" w:rsidP="00155984">
      <w:pPr>
        <w:rPr>
          <w:rFonts w:eastAsia="Calibri"/>
          <w:lang w:val="vi-VN"/>
        </w:rPr>
      </w:pPr>
      <w:r w:rsidRPr="00301868">
        <w:rPr>
          <w:rFonts w:eastAsia="Calibri"/>
          <w:lang w:val="vi-VN"/>
        </w:rPr>
        <w:t>Luật BHXH năm 2014 bổ sung quy định tham gia BHXH bắt buộc đối với 03 nhóm đối tượng, bao gồm (i) Người làm việc theo hợp đồng lao động từ 01 đến</w:t>
      </w:r>
      <w:r w:rsidR="006317AB" w:rsidRPr="00301868">
        <w:rPr>
          <w:rFonts w:eastAsia="Calibri"/>
          <w:lang w:val="vi-VN"/>
        </w:rPr>
        <w:t xml:space="preserve"> dưới</w:t>
      </w:r>
      <w:r w:rsidRPr="00301868">
        <w:rPr>
          <w:rFonts w:eastAsia="Calibri"/>
          <w:lang w:val="vi-VN"/>
        </w:rPr>
        <w:t xml:space="preserve"> 03 tháng; (ii) Người hoạt động không chuyên trách ở xã, phường, thị trấn; (iii) Lao động là công dân nước ngoài làm việc tại Việt Nam. Kết quản tham gia cụ thể như sau:</w:t>
      </w:r>
    </w:p>
    <w:p w14:paraId="7CF980E1" w14:textId="180DBE3E" w:rsidR="00155984" w:rsidRPr="00301868" w:rsidRDefault="00D21538" w:rsidP="00155984">
      <w:pPr>
        <w:rPr>
          <w:rFonts w:eastAsia="Calibri"/>
          <w:lang w:val="vi-VN"/>
        </w:rPr>
      </w:pPr>
      <w:r w:rsidRPr="00301868">
        <w:rPr>
          <w:rFonts w:eastAsia="Calibri"/>
          <w:lang w:val="vi-VN"/>
        </w:rPr>
        <w:t>+ Người làm việc theo hợp đồng lao động từ 01 đế</w:t>
      </w:r>
      <w:r w:rsidR="003C69F0" w:rsidRPr="00301868">
        <w:rPr>
          <w:rFonts w:eastAsia="Calibri"/>
          <w:lang w:val="vi-VN"/>
        </w:rPr>
        <w:t>n</w:t>
      </w:r>
      <w:r w:rsidR="006317AB" w:rsidRPr="00301868">
        <w:rPr>
          <w:rFonts w:eastAsia="Calibri"/>
          <w:lang w:val="vi-VN"/>
        </w:rPr>
        <w:t xml:space="preserve"> dưới</w:t>
      </w:r>
      <w:r w:rsidR="003C69F0" w:rsidRPr="00301868">
        <w:rPr>
          <w:rFonts w:eastAsia="Calibri"/>
          <w:lang w:val="vi-VN"/>
        </w:rPr>
        <w:t xml:space="preserve"> 03 tháng:</w:t>
      </w:r>
    </w:p>
    <w:p w14:paraId="06F79F42" w14:textId="61BCCAF5" w:rsidR="00236874" w:rsidRPr="00301868" w:rsidRDefault="006317AB" w:rsidP="00155984">
      <w:pPr>
        <w:rPr>
          <w:rFonts w:eastAsia="Calibri"/>
          <w:lang w:val="vi-VN"/>
        </w:rPr>
      </w:pPr>
      <w:r w:rsidRPr="00301868">
        <w:rPr>
          <w:rFonts w:eastAsia="Calibri"/>
          <w:lang w:val="vi-VN"/>
        </w:rPr>
        <w:t>Tính đến cuối năm 2019, có 13.533 người tham gia BHXH theo hợp đồng lao động có thời hạn từ 01 đến dưới 0</w:t>
      </w:r>
      <w:r w:rsidR="00502D98" w:rsidRPr="00301868">
        <w:rPr>
          <w:rFonts w:eastAsia="Calibri"/>
          <w:lang w:val="vi-VN"/>
        </w:rPr>
        <w:t>3 tháng</w:t>
      </w:r>
      <w:r w:rsidRPr="00301868">
        <w:rPr>
          <w:rFonts w:eastAsia="Calibri"/>
          <w:lang w:val="vi-VN"/>
        </w:rPr>
        <w:t>.</w:t>
      </w:r>
      <w:r w:rsidR="00C27FBD" w:rsidRPr="00301868">
        <w:rPr>
          <w:rFonts w:eastAsia="Calibri"/>
          <w:lang w:val="vi-VN"/>
        </w:rPr>
        <w:t xml:space="preserve"> Con số này chỉ chiếm khoảng 0,1% số người tham gia BHXH bắt buộc. Như vậy, có thể đánh giá rằng việc quy định mở rộng diện tham gia BHXH bắt buộc sang nhóm đối tượng này không được như kỳ vọng.</w:t>
      </w:r>
    </w:p>
    <w:p w14:paraId="322FF932" w14:textId="42271F92" w:rsidR="00D21538" w:rsidRPr="00301868" w:rsidRDefault="00D21538" w:rsidP="00155984">
      <w:pPr>
        <w:rPr>
          <w:rFonts w:eastAsia="Calibri"/>
          <w:lang w:val="vi-VN"/>
        </w:rPr>
      </w:pPr>
      <w:r w:rsidRPr="00301868">
        <w:rPr>
          <w:rFonts w:eastAsia="Calibri"/>
          <w:lang w:val="vi-VN"/>
        </w:rPr>
        <w:t>+ Người hoạt động không chuyên trách ở xã, phường, thị trấ</w:t>
      </w:r>
      <w:r w:rsidR="00276666" w:rsidRPr="00301868">
        <w:rPr>
          <w:rFonts w:eastAsia="Calibri"/>
          <w:lang w:val="vi-VN"/>
        </w:rPr>
        <w:t>n:</w:t>
      </w:r>
    </w:p>
    <w:p w14:paraId="31DCBE19" w14:textId="52D9FEDB" w:rsidR="00042372" w:rsidRPr="00301868" w:rsidRDefault="008F2550" w:rsidP="00042372">
      <w:pPr>
        <w:rPr>
          <w:rFonts w:eastAsia="Calibri"/>
        </w:rPr>
      </w:pPr>
      <w:r w:rsidRPr="00301868">
        <w:rPr>
          <w:rFonts w:eastAsia="Calibri"/>
          <w:lang w:val="vi-VN"/>
        </w:rPr>
        <w:t>Số người tham gia BHXH bắt buộc là cán bộ không chuyên trách cấp xã giai đoạn 201</w:t>
      </w:r>
      <w:r w:rsidR="00103485" w:rsidRPr="00301868">
        <w:rPr>
          <w:rFonts w:eastAsia="Calibri"/>
          <w:lang w:val="vi-VN"/>
        </w:rPr>
        <w:t>7</w:t>
      </w:r>
      <w:r w:rsidRPr="00301868">
        <w:rPr>
          <w:rFonts w:eastAsia="Calibri"/>
          <w:lang w:val="vi-VN"/>
        </w:rPr>
        <w:t xml:space="preserve"> - 20</w:t>
      </w:r>
      <w:r w:rsidR="00103485" w:rsidRPr="00301868">
        <w:rPr>
          <w:rFonts w:eastAsia="Calibri"/>
          <w:lang w:val="vi-VN"/>
        </w:rPr>
        <w:t>20</w:t>
      </w:r>
      <w:r w:rsidRPr="00301868">
        <w:rPr>
          <w:rFonts w:eastAsia="Calibri"/>
          <w:lang w:val="vi-VN"/>
        </w:rPr>
        <w:t xml:space="preserve"> lần lượt là: 137.131; 132.601; 129.155 và 116.403. </w:t>
      </w:r>
      <w:r w:rsidR="00103485" w:rsidRPr="00301868">
        <w:rPr>
          <w:rFonts w:eastAsia="Calibri"/>
        </w:rPr>
        <w:t>Con số này giảm qua mỗi năm là do chính sách tinh giản biên chế</w:t>
      </w:r>
      <w:r w:rsidR="00042372" w:rsidRPr="00301868">
        <w:rPr>
          <w:rFonts w:eastAsia="Calibri"/>
        </w:rPr>
        <w:t>. Tuy nhiên, mức trung bình cũng chỉ chiếm khoảng 0,9% tổng số người tham gia BHXH bắt buộc.</w:t>
      </w:r>
      <w:r w:rsidR="00210CC9" w:rsidRPr="00301868">
        <w:rPr>
          <w:rFonts w:eastAsia="Calibri"/>
        </w:rPr>
        <w:t xml:space="preserve"> Một bộ phận những người </w:t>
      </w:r>
      <w:r w:rsidR="00210CC9" w:rsidRPr="00301868">
        <w:rPr>
          <w:rFonts w:eastAsia="Calibri"/>
          <w:lang w:val="vi-VN"/>
        </w:rPr>
        <w:t>hoạt động không chuyên trách ở xã, phường, thị trấn</w:t>
      </w:r>
      <w:r w:rsidR="00210CC9" w:rsidRPr="00301868">
        <w:rPr>
          <w:rFonts w:eastAsia="Calibri"/>
        </w:rPr>
        <w:t xml:space="preserve"> (khoảng 40 nghìn người) chuyển từ tham gia BHXH tự nguyện sang tham gia BHXH bắt buộc nên số tăng mới thực sự chỉ khoảng 80 nghìn người.</w:t>
      </w:r>
    </w:p>
    <w:p w14:paraId="1012ECE8" w14:textId="333C6092" w:rsidR="00735F6C" w:rsidRPr="00301868" w:rsidRDefault="00735F6C" w:rsidP="00042372">
      <w:pPr>
        <w:rPr>
          <w:rFonts w:eastAsia="Calibri"/>
        </w:rPr>
      </w:pPr>
      <w:r w:rsidRPr="00301868">
        <w:rPr>
          <w:rFonts w:eastAsia="Calibri"/>
        </w:rPr>
        <w:t xml:space="preserve">Bên cạnh đó, một số địa phương cho rằng việc quy định nhóm này tham gia BHXH bắt buộc ở 02 chế độ với mức đóng bằng 01 lần mức lương cơ sở là hẹp về quyền lợi (thiếu các chế độ ngắn hạn) và thấp về mức hưởng kỳ vọng (so với việc tùy chọn mức thu nhập tháng làm căn cứ đóng BHXH tự nguyện </w:t>
      </w:r>
      <w:r w:rsidR="0049390E" w:rsidRPr="00301868">
        <w:rPr>
          <w:rFonts w:eastAsia="Calibri"/>
        </w:rPr>
        <w:t>trong giai đoạn 2008 - 2015</w:t>
      </w:r>
      <w:r w:rsidRPr="00301868">
        <w:rPr>
          <w:rFonts w:eastAsia="Calibri"/>
        </w:rPr>
        <w:t>).</w:t>
      </w:r>
    </w:p>
    <w:p w14:paraId="7547C50B" w14:textId="448EE4DC" w:rsidR="00D21538" w:rsidRPr="00301868" w:rsidRDefault="00D21538" w:rsidP="00155984">
      <w:pPr>
        <w:rPr>
          <w:rFonts w:eastAsia="Calibri"/>
          <w:lang w:val="vi-VN"/>
        </w:rPr>
      </w:pPr>
      <w:r w:rsidRPr="00301868">
        <w:rPr>
          <w:rFonts w:eastAsia="Calibri"/>
          <w:lang w:val="vi-VN"/>
        </w:rPr>
        <w:t>+ Lao động là công dân nước ngoài làm việc tại Việ</w:t>
      </w:r>
      <w:r w:rsidR="00207F6E" w:rsidRPr="00301868">
        <w:rPr>
          <w:rFonts w:eastAsia="Calibri"/>
          <w:lang w:val="vi-VN"/>
        </w:rPr>
        <w:t>t Nam:</w:t>
      </w:r>
    </w:p>
    <w:p w14:paraId="38EEB0DA" w14:textId="504EBAB5" w:rsidR="00207F6E" w:rsidRPr="00301868" w:rsidRDefault="00D52DF8" w:rsidP="00155984">
      <w:pPr>
        <w:rPr>
          <w:rFonts w:eastAsia="Calibri"/>
          <w:lang w:val="vi-VN"/>
        </w:rPr>
      </w:pPr>
      <w:r w:rsidRPr="00301868">
        <w:rPr>
          <w:rFonts w:eastAsia="Calibri"/>
          <w:lang w:val="vi-VN"/>
        </w:rPr>
        <w:t>Từ năm 2018, lao động là người nước ngoài thuộc diện tham gia BHXH bắt buộc với 03 chế độ ngắn hạn là ốm đau, thai sản, tai nạn lao động, bệnh nghề nghiệp; từ năm 2022, tham gia đầy đủ cả 5 chế độ (thêm hưu trí và tử tuất)</w:t>
      </w:r>
      <w:r w:rsidRPr="00301868">
        <w:rPr>
          <w:rStyle w:val="FootnoteReference"/>
          <w:rFonts w:eastAsia="Calibri"/>
          <w:lang w:val="vi-VN"/>
        </w:rPr>
        <w:footnoteReference w:id="11"/>
      </w:r>
      <w:r w:rsidRPr="00301868">
        <w:rPr>
          <w:rFonts w:eastAsia="Calibri"/>
          <w:lang w:val="vi-VN"/>
        </w:rPr>
        <w:t>.</w:t>
      </w:r>
    </w:p>
    <w:p w14:paraId="545593FB" w14:textId="4CD5CD15" w:rsidR="00D52DF8" w:rsidRPr="00301868" w:rsidRDefault="00D52DF8" w:rsidP="00D52DF8">
      <w:pPr>
        <w:rPr>
          <w:rFonts w:eastAsia="Calibri"/>
          <w:lang w:val="vi-VN"/>
        </w:rPr>
      </w:pPr>
      <w:r w:rsidRPr="00301868">
        <w:rPr>
          <w:rFonts w:eastAsia="Calibri"/>
          <w:lang w:val="vi-VN"/>
        </w:rPr>
        <w:lastRenderedPageBreak/>
        <w:t xml:space="preserve">Trong 03 năm qua (2018 - 2020), số người nước ngoài tham gia BHXH bắt buộc tăng dần, cụ thể lần lượt là 37.052, 68.178, 69.542 người, chiếm khoảng </w:t>
      </w:r>
      <w:r w:rsidR="00306489" w:rsidRPr="00301868">
        <w:rPr>
          <w:rFonts w:eastAsia="Calibri"/>
          <w:lang w:val="vi-VN"/>
        </w:rPr>
        <w:t>70% số người nước ngoài làm việc theo giấy phép tại Việt Nam.</w:t>
      </w:r>
      <w:r w:rsidR="003E65BF" w:rsidRPr="00301868">
        <w:rPr>
          <w:rFonts w:eastAsia="Calibri"/>
          <w:lang w:val="vi-VN"/>
        </w:rPr>
        <w:t xml:space="preserve"> Sở dĩ số tham gia không đầy đủ 100% là do hiện mới quy định những đối tượng làm việc theo hợp đồng lao động từ đủ 12 tháng trở lên</w:t>
      </w:r>
      <w:r w:rsidR="00496C0B" w:rsidRPr="00301868">
        <w:rPr>
          <w:rFonts w:eastAsia="Calibri"/>
          <w:lang w:val="vi-VN"/>
        </w:rPr>
        <w:t xml:space="preserve"> mới thuộc diện tham gia.</w:t>
      </w:r>
    </w:p>
    <w:p w14:paraId="0DBB451A" w14:textId="7F04B586" w:rsidR="00155984" w:rsidRPr="00301868" w:rsidRDefault="00155984" w:rsidP="00D52DF8">
      <w:pPr>
        <w:rPr>
          <w:rFonts w:eastAsia="Calibri"/>
          <w:lang w:val="vi-VN"/>
        </w:rPr>
      </w:pPr>
      <w:r w:rsidRPr="00301868">
        <w:rPr>
          <w:rFonts w:eastAsia="Calibri"/>
          <w:lang w:val="vi-VN"/>
        </w:rPr>
        <w:t>-</w:t>
      </w:r>
      <w:r w:rsidRPr="00301868">
        <w:rPr>
          <w:rFonts w:eastAsia="Calibri"/>
        </w:rPr>
        <w:t xml:space="preserve"> </w:t>
      </w:r>
      <w:r w:rsidR="00402E20" w:rsidRPr="00301868">
        <w:rPr>
          <w:rFonts w:eastAsia="Calibri"/>
        </w:rPr>
        <w:t>Một số nhóm đối tượng khác</w:t>
      </w:r>
      <w:r w:rsidR="00D21538" w:rsidRPr="00301868">
        <w:rPr>
          <w:rFonts w:eastAsia="Calibri"/>
          <w:lang w:val="vi-VN"/>
        </w:rPr>
        <w:t>:</w:t>
      </w:r>
    </w:p>
    <w:p w14:paraId="06FA9AD8" w14:textId="08D03759" w:rsidR="00D21538" w:rsidRPr="00301868" w:rsidRDefault="00D21538" w:rsidP="00155984">
      <w:pPr>
        <w:rPr>
          <w:rFonts w:eastAsia="Calibri"/>
          <w:lang w:val="vi-VN"/>
        </w:rPr>
      </w:pPr>
      <w:r w:rsidRPr="00301868">
        <w:rPr>
          <w:rFonts w:eastAsia="Calibri"/>
          <w:lang w:val="vi-VN"/>
        </w:rPr>
        <w:t>+ Người Việt Nam đi làm việc ở nước ngoài;</w:t>
      </w:r>
    </w:p>
    <w:p w14:paraId="6F58A0BC" w14:textId="519DF6DB" w:rsidR="00BC16C8" w:rsidRPr="00301868" w:rsidRDefault="00BC16C8" w:rsidP="00BC16C8">
      <w:pPr>
        <w:rPr>
          <w:spacing w:val="-2"/>
          <w:lang w:val="vi-VN"/>
        </w:rPr>
      </w:pPr>
      <w:r w:rsidRPr="00301868">
        <w:rPr>
          <w:spacing w:val="-2"/>
          <w:lang w:val="vi-VN"/>
        </w:rPr>
        <w:t>Theo báo cáo của Cục Quản lý lao động ngoài nước, Bộ Lao động - Thương binh và Xã hội, tính đến cuối năm 2019, tổng số lao động Việt Nam hiện đang làm việc ở nước ngoài lên khoảng 650 nghìn người tại hơn 40 quốc gia và vùng lãnh thổ, làm việc hơn 30 nhóm lĩnh vực, ngành nghề khác nhau. Tuy nhiên, theo báo cáo của Bảo hiểm xã hội Việt Nam, số lao động đi làm việc ở nước ngoài theo hợp đồng đang tham gia bảo hiểm xã hội bắt buộc mới chỉ là gần 9 nghìn người, bằng khoảng 1,4% tổng số n</w:t>
      </w:r>
      <w:r w:rsidR="00283D6C" w:rsidRPr="00301868">
        <w:rPr>
          <w:spacing w:val="-2"/>
          <w:lang w:val="vi-VN"/>
        </w:rPr>
        <w:t xml:space="preserve">gười đang làm việc ở nước ngoài </w:t>
      </w:r>
      <w:r w:rsidR="00283D6C" w:rsidRPr="00301868">
        <w:rPr>
          <w:i/>
          <w:spacing w:val="-2"/>
          <w:lang w:val="vi-VN"/>
        </w:rPr>
        <w:t>(C</w:t>
      </w:r>
      <w:r w:rsidRPr="00301868">
        <w:rPr>
          <w:i/>
          <w:spacing w:val="-2"/>
          <w:lang w:val="vi-VN"/>
        </w:rPr>
        <w:t xml:space="preserve">hi tiết </w:t>
      </w:r>
      <w:r w:rsidR="00283D6C" w:rsidRPr="00301868">
        <w:rPr>
          <w:i/>
          <w:spacing w:val="-2"/>
          <w:lang w:val="vi-VN"/>
        </w:rPr>
        <w:t>tại Phụ lục V)</w:t>
      </w:r>
      <w:r w:rsidR="00283D6C" w:rsidRPr="00301868">
        <w:rPr>
          <w:spacing w:val="-2"/>
          <w:lang w:val="vi-VN"/>
        </w:rPr>
        <w:t>.</w:t>
      </w:r>
    </w:p>
    <w:p w14:paraId="4901EAE1" w14:textId="2712B730" w:rsidR="00BC16C8" w:rsidRPr="00301868" w:rsidRDefault="00BC16C8" w:rsidP="00BC16C8">
      <w:pPr>
        <w:rPr>
          <w:lang w:val="vi-VN"/>
        </w:rPr>
      </w:pPr>
      <w:r w:rsidRPr="00301868">
        <w:rPr>
          <w:lang w:val="vi-VN"/>
        </w:rPr>
        <w:t>Số liệu cho thấy, tốc độ tăng số người lao động đi làm việc ở nước ngoài tham gia BHXH bắt buộc giai đoạn 2015 - 2019 bình quân là khoảng 27%/năm; đây là một tốc độ tăng khá cao. Tuy nhiên, tỷ lệ người Việt Nam đi làm việc ở nước ngoài tham gia BHXH bắt buộc nhìn chung còn thấp hơn nhiều so với tiềm năng cũng như chưa đáp ứng được yêu cầu của Luật Bảo hiểm xã hội là đối tượng này thuộc diện tham gia BHXH bắt buộc.</w:t>
      </w:r>
    </w:p>
    <w:p w14:paraId="5A7E6DE1" w14:textId="5450D21C" w:rsidR="00714843" w:rsidRPr="00301868" w:rsidRDefault="00D21538" w:rsidP="00155984">
      <w:pPr>
        <w:rPr>
          <w:rFonts w:eastAsia="Calibri"/>
          <w:lang w:val="vi-VN"/>
        </w:rPr>
      </w:pPr>
      <w:r w:rsidRPr="00301868">
        <w:rPr>
          <w:rFonts w:eastAsia="Calibri"/>
          <w:lang w:val="vi-VN"/>
        </w:rPr>
        <w:t>+</w:t>
      </w:r>
      <w:r w:rsidR="00714843" w:rsidRPr="00301868">
        <w:rPr>
          <w:rFonts w:eastAsia="Calibri"/>
          <w:lang w:val="vi-VN"/>
        </w:rPr>
        <w:t xml:space="preserve"> Chủ hộ kinh doanh cá thể; </w:t>
      </w:r>
    </w:p>
    <w:p w14:paraId="3B99606D" w14:textId="77777777" w:rsidR="00714843" w:rsidRPr="00301868" w:rsidRDefault="00714843" w:rsidP="00155984">
      <w:pPr>
        <w:rPr>
          <w:rFonts w:eastAsia="Calibri"/>
          <w:lang w:val="vi-VN"/>
        </w:rPr>
      </w:pPr>
      <w:r w:rsidRPr="00301868">
        <w:rPr>
          <w:rFonts w:eastAsia="Calibri"/>
          <w:lang w:val="vi-VN"/>
        </w:rPr>
        <w:t>+ Người quản lý doanh nghiệp, người quản lý điều hành hợp tác xã không hưởng tiền lương;</w:t>
      </w:r>
    </w:p>
    <w:p w14:paraId="28750077" w14:textId="27F8AB4D" w:rsidR="00D21538" w:rsidRPr="00301868" w:rsidRDefault="00714843" w:rsidP="00155984">
      <w:pPr>
        <w:rPr>
          <w:rFonts w:eastAsia="Calibri"/>
          <w:lang w:val="vi-VN"/>
        </w:rPr>
      </w:pPr>
      <w:r w:rsidRPr="00301868">
        <w:rPr>
          <w:rFonts w:eastAsia="Calibri"/>
          <w:lang w:val="vi-VN"/>
        </w:rPr>
        <w:t>+ Người tham gia trong nền kinh tế chia sẻ phát sinh các quan hệ lao động mới không có hợp đồng lao động (Grab)</w:t>
      </w:r>
      <w:r w:rsidR="00227102" w:rsidRPr="00301868">
        <w:rPr>
          <w:rFonts w:eastAsia="Calibri"/>
          <w:lang w:val="vi-VN"/>
        </w:rPr>
        <w:t>.</w:t>
      </w:r>
    </w:p>
    <w:p w14:paraId="16D5473B" w14:textId="28B59711" w:rsidR="000B1C3A" w:rsidRPr="00301868" w:rsidRDefault="000B1C3A" w:rsidP="000B1C3A">
      <w:pPr>
        <w:pStyle w:val="Heading4"/>
        <w:rPr>
          <w:rFonts w:eastAsia="Calibri"/>
        </w:rPr>
      </w:pPr>
      <w:r w:rsidRPr="00301868">
        <w:rPr>
          <w:rFonts w:eastAsia="Calibri"/>
          <w:lang w:val="vi-VN"/>
        </w:rPr>
        <w:t>c)</w:t>
      </w:r>
      <w:r w:rsidRPr="00301868">
        <w:rPr>
          <w:rFonts w:eastAsia="Calibri"/>
        </w:rPr>
        <w:t xml:space="preserve"> Tác động của chính sách hỗ trợ đóng bảo hiểm xã hội đối với công tác phát triển đối tượng tham gia bảo hiểm xã hội </w:t>
      </w:r>
    </w:p>
    <w:p w14:paraId="0F1A52FE" w14:textId="77777777" w:rsidR="000B1C3A" w:rsidRPr="00301868" w:rsidRDefault="000B1C3A" w:rsidP="000B1C3A">
      <w:pPr>
        <w:rPr>
          <w:rFonts w:eastAsia="Calibri"/>
          <w:lang w:val="nl-NL"/>
        </w:rPr>
      </w:pPr>
      <w:r w:rsidRPr="00301868">
        <w:rPr>
          <w:rFonts w:eastAsia="Calibri"/>
          <w:lang w:val="nl-NL"/>
        </w:rPr>
        <w:t>Lần đầu tiên chúng ta áp dụng chính sách hỗ trợ đóng BHXH đối với những người tham gia BHXH tự nguyện. Kết quả báo cáo của các địa phương cũng như số liệu của BHXH Việt Nam cho thấy số lượng người tham gia BHXH tự nguyện đã gia tăng rõ rệt từ 0,4% lực lượng lao động</w:t>
      </w:r>
      <w:r w:rsidRPr="00301868">
        <w:rPr>
          <w:rFonts w:eastAsia="Calibri"/>
          <w:lang w:val="vi-VN"/>
        </w:rPr>
        <w:t xml:space="preserve"> trong độ tuổi</w:t>
      </w:r>
      <w:r w:rsidRPr="00301868">
        <w:rPr>
          <w:rFonts w:eastAsia="Calibri"/>
          <w:lang w:val="nl-NL"/>
        </w:rPr>
        <w:t xml:space="preserve"> vào năm 201</w:t>
      </w:r>
      <w:r w:rsidRPr="00301868">
        <w:rPr>
          <w:rFonts w:eastAsia="Calibri"/>
          <w:lang w:val="vi-VN"/>
        </w:rPr>
        <w:t>6</w:t>
      </w:r>
      <w:r w:rsidRPr="00301868">
        <w:rPr>
          <w:rFonts w:eastAsia="Calibri"/>
          <w:lang w:val="nl-NL"/>
        </w:rPr>
        <w:t xml:space="preserve"> đã lên đến </w:t>
      </w:r>
      <w:r w:rsidRPr="00301868">
        <w:rPr>
          <w:rFonts w:eastAsia="Calibri"/>
          <w:lang w:val="vi-VN"/>
        </w:rPr>
        <w:t>2,1</w:t>
      </w:r>
      <w:r w:rsidRPr="00301868">
        <w:rPr>
          <w:rFonts w:eastAsia="Calibri"/>
          <w:lang w:val="nl-NL"/>
        </w:rPr>
        <w:t>%</w:t>
      </w:r>
      <w:r w:rsidRPr="00301868">
        <w:rPr>
          <w:rFonts w:eastAsia="Calibri"/>
          <w:lang w:val="vi-VN"/>
        </w:rPr>
        <w:t xml:space="preserve"> </w:t>
      </w:r>
      <w:r w:rsidRPr="00301868">
        <w:rPr>
          <w:rFonts w:eastAsia="Calibri"/>
          <w:lang w:val="nl-NL"/>
        </w:rPr>
        <w:t>vào năm 20</w:t>
      </w:r>
      <w:r w:rsidRPr="00301868">
        <w:rPr>
          <w:rFonts w:eastAsia="Calibri"/>
          <w:lang w:val="vi-VN"/>
        </w:rPr>
        <w:t>20</w:t>
      </w:r>
      <w:r w:rsidRPr="00301868">
        <w:rPr>
          <w:rFonts w:eastAsia="Calibri"/>
          <w:lang w:val="nl-NL"/>
        </w:rPr>
        <w:t xml:space="preserve"> (</w:t>
      </w:r>
      <w:r w:rsidRPr="00301868">
        <w:rPr>
          <w:rFonts w:eastAsia="Calibri"/>
          <w:lang w:val="vi-VN"/>
        </w:rPr>
        <w:t>Phụ lục III</w:t>
      </w:r>
      <w:r w:rsidRPr="00301868">
        <w:rPr>
          <w:rFonts w:eastAsia="Calibri"/>
          <w:lang w:val="nl-NL"/>
        </w:rPr>
        <w:t>). Năm 2018, Ngân sách Nhà nước đã chuyển 27.604.333.415 đồng trong tổng số 41.987.160.448 đồng (</w:t>
      </w:r>
      <w:r w:rsidRPr="00301868">
        <w:rPr>
          <w:rFonts w:eastAsia="Calibri"/>
          <w:i/>
          <w:lang w:val="nl-NL"/>
        </w:rPr>
        <w:t>chiếm 66%</w:t>
      </w:r>
      <w:r w:rsidRPr="00301868">
        <w:rPr>
          <w:rFonts w:eastAsia="Calibri"/>
          <w:lang w:val="nl-NL"/>
        </w:rPr>
        <w:t xml:space="preserve">) phải hỗ trợ cho các địa phương. Sáu tháng đầu năm 2019, Ngân sách Nhà nước cũng đã chuyển 28.123.843.257 đồng trong tổng số 34.211.042.723 đồng </w:t>
      </w:r>
      <w:r w:rsidRPr="00301868">
        <w:rPr>
          <w:rFonts w:eastAsia="Calibri"/>
          <w:lang w:val="nl-NL"/>
        </w:rPr>
        <w:lastRenderedPageBreak/>
        <w:t>(</w:t>
      </w:r>
      <w:r w:rsidRPr="00301868">
        <w:rPr>
          <w:rFonts w:eastAsia="Calibri"/>
          <w:i/>
          <w:lang w:val="nl-NL"/>
        </w:rPr>
        <w:t>chiếm 82%</w:t>
      </w:r>
      <w:r w:rsidRPr="00301868">
        <w:rPr>
          <w:rFonts w:eastAsia="Calibri"/>
          <w:lang w:val="nl-NL"/>
        </w:rPr>
        <w:t>) phải hỗ trợ cho các địa phương</w:t>
      </w:r>
      <w:r w:rsidRPr="00301868">
        <w:rPr>
          <w:rFonts w:eastAsia="Calibri"/>
          <w:vertAlign w:val="superscript"/>
          <w:lang w:val="nl-NL"/>
        </w:rPr>
        <w:footnoteReference w:id="12"/>
      </w:r>
      <w:r w:rsidRPr="00301868">
        <w:rPr>
          <w:rFonts w:eastAsia="Calibri"/>
          <w:lang w:val="nl-NL"/>
        </w:rPr>
        <w:t>. Bộ Tài chính</w:t>
      </w:r>
      <w:r w:rsidRPr="00301868">
        <w:rPr>
          <w:rFonts w:eastAsia="Calibri"/>
          <w:vertAlign w:val="superscript"/>
          <w:lang w:val="nl-NL"/>
        </w:rPr>
        <w:footnoteReference w:id="13"/>
      </w:r>
      <w:r w:rsidRPr="00301868">
        <w:rPr>
          <w:rFonts w:eastAsia="Calibri"/>
          <w:lang w:val="nl-NL"/>
        </w:rPr>
        <w:t xml:space="preserve"> cho biết không có vướng mắc, khó khăn trong việc xác định số kinh phí để bổ sung có mục tiêu từ ngân sách trung ương cho ngân sách địa phương thực hiện các chính sách an sinh xã hội giai đoạn 2017</w:t>
      </w:r>
      <w:r w:rsidRPr="00301868">
        <w:rPr>
          <w:rFonts w:eastAsia="Calibri"/>
          <w:lang w:val="vi-VN"/>
        </w:rPr>
        <w:t xml:space="preserve"> </w:t>
      </w:r>
      <w:r w:rsidRPr="00301868">
        <w:rPr>
          <w:rFonts w:eastAsia="Calibri"/>
          <w:lang w:val="nl-NL"/>
        </w:rPr>
        <w:t>-</w:t>
      </w:r>
      <w:r w:rsidRPr="00301868">
        <w:rPr>
          <w:rFonts w:eastAsia="Calibri"/>
          <w:lang w:val="vi-VN"/>
        </w:rPr>
        <w:t xml:space="preserve"> </w:t>
      </w:r>
      <w:r w:rsidRPr="00301868">
        <w:rPr>
          <w:rFonts w:eastAsia="Calibri"/>
          <w:lang w:val="nl-NL"/>
        </w:rPr>
        <w:t xml:space="preserve">2020. </w:t>
      </w:r>
    </w:p>
    <w:p w14:paraId="07D13436" w14:textId="5DE41698" w:rsidR="00D65C30" w:rsidRPr="00301868" w:rsidRDefault="000B1C3A" w:rsidP="002A30AA">
      <w:pPr>
        <w:pStyle w:val="Heading4"/>
        <w:rPr>
          <w:rFonts w:eastAsia="Calibri"/>
        </w:rPr>
      </w:pPr>
      <w:r w:rsidRPr="00301868">
        <w:rPr>
          <w:rFonts w:eastAsia="Calibri"/>
        </w:rPr>
        <w:t>d</w:t>
      </w:r>
      <w:r w:rsidR="00155984" w:rsidRPr="00301868">
        <w:rPr>
          <w:rFonts w:eastAsia="Calibri"/>
        </w:rPr>
        <w:t xml:space="preserve">) </w:t>
      </w:r>
      <w:r w:rsidR="00D65C30" w:rsidRPr="00301868">
        <w:rPr>
          <w:rFonts w:eastAsia="Calibri"/>
        </w:rPr>
        <w:t>Về hưởng</w:t>
      </w:r>
      <w:r w:rsidR="008C1F7A" w:rsidRPr="00301868">
        <w:rPr>
          <w:rFonts w:eastAsia="Calibri"/>
        </w:rPr>
        <w:t xml:space="preserve"> BHXH một lần:</w:t>
      </w:r>
    </w:p>
    <w:p w14:paraId="5D247B4F" w14:textId="39554375" w:rsidR="00CC327B" w:rsidRPr="00301868" w:rsidRDefault="00480BC3" w:rsidP="00480BC3">
      <w:pPr>
        <w:rPr>
          <w:rFonts w:eastAsia="Calibri"/>
          <w:lang w:val="vi-VN"/>
        </w:rPr>
      </w:pPr>
      <w:r w:rsidRPr="00301868">
        <w:rPr>
          <w:rFonts w:eastAsia="Calibri"/>
          <w:lang w:val="vi-VN"/>
        </w:rPr>
        <w:t>Chế độ BHXH một lần được thực hiện theo quy định tại Điều 60, Điều 77 Luật BHXH và Nghị quyết số 93/2015/QH13 ngày 22 tháng 06 năm 2015 của Quốc hội.</w:t>
      </w:r>
    </w:p>
    <w:p w14:paraId="180E2516" w14:textId="71B18AD7" w:rsidR="00CA190A" w:rsidRPr="00301868" w:rsidRDefault="00480BC3" w:rsidP="00CA190A">
      <w:pPr>
        <w:rPr>
          <w:rFonts w:eastAsia="Calibri"/>
        </w:rPr>
      </w:pPr>
      <w:r w:rsidRPr="00301868">
        <w:rPr>
          <w:rFonts w:eastAsia="Calibri"/>
          <w:lang w:val="vi-VN"/>
        </w:rPr>
        <w:t>Trong 5 năm thực hiện Luật BHXH, tổng số người hưởng BHXH một lần là trên 3,7 triệu người; điều này đồng nghĩa với việc trung bình mỗi năm có gần 750 nghìn người tham gia BHXH rời khỏi hệ thống</w:t>
      </w:r>
      <w:r w:rsidR="00B17669" w:rsidRPr="00301868">
        <w:rPr>
          <w:rFonts w:eastAsia="Calibri"/>
          <w:lang w:val="vi-VN"/>
        </w:rPr>
        <w:t>, chiếm trên 5% tổng số người tham gia BHXH.</w:t>
      </w:r>
      <w:r w:rsidR="00CA190A" w:rsidRPr="00301868">
        <w:rPr>
          <w:rFonts w:eastAsia="Calibri"/>
        </w:rPr>
        <w:t xml:space="preserve"> Đây là một con số quá lớn so với nỗ lực phát triển đối tượng BHXH của toàn ngành BHXH. Rất nhiều địa phương cũng phản ánh, công tác phát triển đối tượng gặp nhiều hạn chế do số người tham gia mới không đủ bù đắp cho những người hưởng chế độ BHXH một lần.   </w:t>
      </w:r>
    </w:p>
    <w:p w14:paraId="7C880CC1" w14:textId="6A03934F" w:rsidR="00CA190A" w:rsidRPr="00301868" w:rsidRDefault="00420C23" w:rsidP="00CA190A">
      <w:pPr>
        <w:rPr>
          <w:rFonts w:eastAsia="Calibri"/>
          <w:i/>
        </w:rPr>
      </w:pPr>
      <w:r w:rsidRPr="00301868">
        <w:rPr>
          <w:rFonts w:eastAsia="Calibri"/>
          <w:lang w:val="vi-VN"/>
        </w:rPr>
        <w:t>Về cơ bản, số người hưởng BHXH một lần năm sau cao hơn năm trước (mức tăng bình quân 6,5%/năm); trong đó số tăng đột biến vào năm 2017 và năm 2018. Điều này cho thấy xu thế này chưa có dấu hiệu dừng lại.</w:t>
      </w:r>
      <w:r w:rsidR="00CA190A" w:rsidRPr="00301868">
        <w:rPr>
          <w:rFonts w:eastAsia="Calibri"/>
          <w:i/>
        </w:rPr>
        <w:t xml:space="preserve"> (Chi tiết tại Phụ lục I</w:t>
      </w:r>
      <w:r w:rsidR="00CA190A" w:rsidRPr="00301868">
        <w:rPr>
          <w:rFonts w:eastAsia="Calibri"/>
          <w:i/>
          <w:lang w:val="vi-VN"/>
        </w:rPr>
        <w:t>V</w:t>
      </w:r>
      <w:r w:rsidR="00CA190A" w:rsidRPr="00301868">
        <w:rPr>
          <w:rFonts w:eastAsia="Calibri"/>
          <w:i/>
        </w:rPr>
        <w:t>)</w:t>
      </w:r>
    </w:p>
    <w:p w14:paraId="6613A7F2" w14:textId="497A735E" w:rsidR="008C1F7A" w:rsidRPr="00301868" w:rsidRDefault="00CA190A" w:rsidP="007C2005">
      <w:pPr>
        <w:rPr>
          <w:rFonts w:eastAsia="Calibri"/>
        </w:rPr>
      </w:pPr>
      <w:r w:rsidRPr="00301868">
        <w:rPr>
          <w:rFonts w:eastAsia="Calibri"/>
          <w:lang w:val="vi-VN"/>
        </w:rPr>
        <w:t>Theo kết quả nghiên cứu của Bộ Lao động - Thương binh và Xã hội và Tổ chức Lao động quốc tế (ILO) phối hợp thực hiện năm 2018 thì các trường hợp</w:t>
      </w:r>
      <w:r w:rsidR="008C1F7A" w:rsidRPr="00301868">
        <w:rPr>
          <w:rFonts w:eastAsia="Calibri"/>
        </w:rPr>
        <w:t xml:space="preserve"> hưởng BHXH một lần thường là những người có số năm đóng BHXH thấp, dưới 15 năm. Việc quy định cho phép hưởng </w:t>
      </w:r>
      <w:r w:rsidRPr="00301868">
        <w:rPr>
          <w:rFonts w:eastAsia="Calibri"/>
          <w:lang w:val="vi-VN"/>
        </w:rPr>
        <w:t>BHXH</w:t>
      </w:r>
      <w:r w:rsidR="008C1F7A" w:rsidRPr="00301868">
        <w:rPr>
          <w:rFonts w:eastAsia="Calibri"/>
        </w:rPr>
        <w:t xml:space="preserve"> một lần sẽ không khuyến khích những người lao động tích lũy các khoảng thời gian đóng </w:t>
      </w:r>
      <w:r w:rsidR="00722A7A" w:rsidRPr="00301868">
        <w:rPr>
          <w:rFonts w:eastAsia="Calibri"/>
          <w:lang w:val="vi-VN"/>
        </w:rPr>
        <w:t>BHXH</w:t>
      </w:r>
      <w:r w:rsidR="008C1F7A" w:rsidRPr="00301868">
        <w:rPr>
          <w:rFonts w:eastAsia="Calibri"/>
        </w:rPr>
        <w:t xml:space="preserve"> để hưởng </w:t>
      </w:r>
      <w:r w:rsidR="00B41F75" w:rsidRPr="00301868">
        <w:rPr>
          <w:rFonts w:eastAsia="Calibri"/>
          <w:lang w:val="vi-VN"/>
        </w:rPr>
        <w:t>lương hưu hằng tháng khi hết tuổi lao động</w:t>
      </w:r>
      <w:r w:rsidR="008C1F7A" w:rsidRPr="00301868">
        <w:rPr>
          <w:rFonts w:eastAsia="Calibri"/>
        </w:rPr>
        <w:t xml:space="preserve">. Trợ cấp </w:t>
      </w:r>
      <w:r w:rsidR="00B41F75" w:rsidRPr="00301868">
        <w:rPr>
          <w:rFonts w:eastAsia="Calibri"/>
          <w:lang w:val="vi-VN"/>
        </w:rPr>
        <w:t xml:space="preserve">BHXH một </w:t>
      </w:r>
      <w:r w:rsidR="008C1F7A" w:rsidRPr="00301868">
        <w:rPr>
          <w:rFonts w:eastAsia="Calibri"/>
        </w:rPr>
        <w:t>lần có thể đáp ứng nhu cầu tài chính trước mắt của những người được bảo hiểm, nhưng lấy đi của họ sự bảo trợ khi về già với các chế độ hưu trí hàng tháng cùng với bảo hiểm y tế do quỹ bảo hiểm xã hội chi trả và chế độ tử tuất bao gồm cả mai táng phí và trợ cấp tử tuất hàng tháng hoặ</w:t>
      </w:r>
      <w:r w:rsidR="00B41F75" w:rsidRPr="00301868">
        <w:rPr>
          <w:rFonts w:eastAsia="Calibri"/>
        </w:rPr>
        <w:t>c một</w:t>
      </w:r>
      <w:r w:rsidR="008C1F7A" w:rsidRPr="00301868">
        <w:rPr>
          <w:rFonts w:eastAsia="Calibri"/>
        </w:rPr>
        <w:t xml:space="preserve"> lần. Khi hưởng chế độ BHXH một lần nghĩa là người lao động dời bỏ hệ thống. Mức độ bao phủ của hệ thống BHXH cũng vì thế sẽ bị thu hẹp ở cả khía cạnh số người tham gia và số người thụ hưởng. Từ đó các nỗ lực mở rộng diện bao phủ và phát triển đối tượng tham gia BHXH của các bên liên quan sẽ bị hạn chế và gặp rất nhiều khó khăn.</w:t>
      </w:r>
    </w:p>
    <w:p w14:paraId="086CD5C1" w14:textId="77777777" w:rsidR="008C1F7A" w:rsidRPr="00301868" w:rsidRDefault="008C1F7A" w:rsidP="007C2005">
      <w:pPr>
        <w:rPr>
          <w:rFonts w:eastAsia="Calibri"/>
        </w:rPr>
      </w:pPr>
      <w:r w:rsidRPr="00301868">
        <w:rPr>
          <w:rFonts w:eastAsia="Calibri"/>
        </w:rPr>
        <w:t xml:space="preserve">Tóm lại, các số liệu thống kê và báo cáo cho thấy phát triển đối tượng tham gia BHXH cả bắt buộc và tự nguyện khá chậm và còn khá xa so với mục tiêu đã được đề ra tại các Nghị quyết số 15-NQ/TW ngày 01 tháng 6 năm 2012 </w:t>
      </w:r>
      <w:r w:rsidRPr="00301868">
        <w:rPr>
          <w:rFonts w:eastAsia="Calibri"/>
        </w:rPr>
        <w:lastRenderedPageBreak/>
        <w:t>của Ban chấp hành Trung ương Đảng là “</w:t>
      </w:r>
      <w:r w:rsidRPr="00301868">
        <w:rPr>
          <w:rFonts w:eastAsia="Calibri"/>
          <w:i/>
        </w:rPr>
        <w:t>phấn đấu đến năm 2020 có khoảng 50% lực lượng lao động tham gia bảo hiểm xã hội</w:t>
      </w:r>
      <w:r w:rsidRPr="00301868">
        <w:rPr>
          <w:rFonts w:eastAsia="Calibri"/>
        </w:rPr>
        <w:t>” và Nghị quyết số 28-NQ/TW ngày 23 tháng 5 năm 2018 của Hội nghị lần thứ 7 Ban chấp hành Trung ương Đảng khóa XII về Cải cách chính sách bảo hiểm xã hội là “</w:t>
      </w:r>
      <w:r w:rsidRPr="00301868">
        <w:rPr>
          <w:rFonts w:eastAsia="Calibri"/>
          <w:i/>
        </w:rPr>
        <w:t>đến năm 2021, phấn đấu đạt khoảng 35% lực lượng lao động trong độ tuổi tham gia bảo hiểm xã hội, trong đó nông dân và lao động khu vực phi chính thức tham gia bảo hiểm xã hội tự nguyện chiếm khoảng 1% lực lượng lao động trong độ tuổi;phấn đấu đến năm 2021 có khoảng 35% lực lượng lao động trong độ tuổi tham gia bảo hiểm xã hội; đến năm 2025, phấn đấu đạt khoảng 45% lực lượng lao động trong độ tuổi tham gia bảo hiểm xã hội, trong đó nông dân và lao động khu vực phi chính thức tham gia bảo hiểm xã hội tự nguyện chiếm khoảng 2,5% lực lượng lao động trong độ tuổi; đến năm 2030, phấn đấu đạt khoảng 60% lực lượng lao động trong độ tuổi tham gia bảo hiểm xã hội, trong đó nông dân và lao động khu vực phi chính thức tham gia bảo hiểm xã hội tự nguyện chiếm khoảng 5% lực lượng lao động trong độ tuổi</w:t>
      </w:r>
      <w:r w:rsidRPr="00301868">
        <w:rPr>
          <w:rFonts w:eastAsia="Calibri"/>
        </w:rPr>
        <w:t>”.</w:t>
      </w:r>
    </w:p>
    <w:p w14:paraId="06A7C884" w14:textId="1362FEEA" w:rsidR="008C1F7A" w:rsidRPr="00301868" w:rsidRDefault="000B1C3A" w:rsidP="000B1C3A">
      <w:pPr>
        <w:pStyle w:val="Heading4"/>
        <w:rPr>
          <w:rFonts w:eastAsia="Calibri"/>
        </w:rPr>
      </w:pPr>
      <w:r w:rsidRPr="00301868">
        <w:rPr>
          <w:rFonts w:eastAsia="Calibri"/>
        </w:rPr>
        <w:t>đ)</w:t>
      </w:r>
      <w:r w:rsidR="008C1F7A" w:rsidRPr="00301868">
        <w:rPr>
          <w:rFonts w:eastAsia="Calibri"/>
        </w:rPr>
        <w:t xml:space="preserve"> Tình hình giám sát đánh giá công tác phát triển đối tượng tham gia BHXH theo kế hoạch phát triển kinh tế - xã hội hàng năm </w:t>
      </w:r>
    </w:p>
    <w:p w14:paraId="19FFF415" w14:textId="77777777" w:rsidR="008C1F7A" w:rsidRPr="00301868" w:rsidRDefault="008C1F7A" w:rsidP="007C2005">
      <w:pPr>
        <w:rPr>
          <w:rFonts w:eastAsia="Calibri"/>
        </w:rPr>
      </w:pPr>
      <w:r w:rsidRPr="00301868">
        <w:rPr>
          <w:rFonts w:eastAsia="Calibri"/>
        </w:rPr>
        <w:t xml:space="preserve">Để công tác phát triển đối tượng tham gia BHXH một cách hiệu quả, Chính phủ đã ban hành Nghị quyết số 102/NQ-CP ngày 03 tháng 8 năm 2018 về việc giao chỉ tiêu phát triển đối tượng tham gia BHXH cho các địa phương. Nghị quyết đã hướng dẫn các nguyên tắc, chỉ tiêu, tiêu chí và phương pháp để các địa phương dựa vào đó xây dựng chỉ tiêu phát triển đối tượng phù hợp với kế hoạch phát triển kinh tế - xã hội hàng năm của địa phương mình. Việc giám sát đánh giá công tác phát triển đối tượng tham gia BHXH chỉ thực sự hiệu quả khi các địa phương và cơ quan BHXH các cấp phối hợp đề ra những chỉ tiêu cụ thể cần đạt được đối với từng nhóm đối tượng trong từng năm. Tuy nhiên hầu hết báo cáo của các địa phương đều không cho thấy những chỉ tiêu này trong kế hoạch phát triển kinh tế - xã hội hàng năm của địa phương mình.  </w:t>
      </w:r>
    </w:p>
    <w:p w14:paraId="4F990366" w14:textId="7F2842DA" w:rsidR="008C1F7A" w:rsidRPr="00301868" w:rsidRDefault="008C1F7A" w:rsidP="007C2005">
      <w:pPr>
        <w:pStyle w:val="Heading3"/>
        <w:rPr>
          <w:rFonts w:eastAsia="Calibri"/>
          <w:lang w:val="nl-NL"/>
        </w:rPr>
      </w:pPr>
      <w:bookmarkStart w:id="21" w:name="_Toc63186690"/>
      <w:r w:rsidRPr="00301868">
        <w:rPr>
          <w:rFonts w:eastAsia="Calibri"/>
          <w:lang w:val="nl-NL"/>
        </w:rPr>
        <w:t>1.</w:t>
      </w:r>
      <w:r w:rsidR="009E5C33" w:rsidRPr="00301868">
        <w:rPr>
          <w:rFonts w:eastAsia="Calibri"/>
          <w:lang w:val="nl-NL"/>
        </w:rPr>
        <w:t>2</w:t>
      </w:r>
      <w:r w:rsidR="001875BF" w:rsidRPr="00301868">
        <w:rPr>
          <w:rFonts w:eastAsia="Calibri"/>
          <w:lang w:val="nl-NL"/>
        </w:rPr>
        <w:t>.</w:t>
      </w:r>
      <w:r w:rsidRPr="00301868">
        <w:rPr>
          <w:rFonts w:eastAsia="Calibri"/>
          <w:lang w:val="nl-NL"/>
        </w:rPr>
        <w:t xml:space="preserve"> Những hạn chế, vướng mắc trong công tác phát triển đối tượng tham gia bảo hiểm xã hội</w:t>
      </w:r>
      <w:bookmarkEnd w:id="21"/>
    </w:p>
    <w:p w14:paraId="562C8816" w14:textId="77777777" w:rsidR="008C1F7A" w:rsidRPr="00301868" w:rsidRDefault="008C1F7A" w:rsidP="007C2005">
      <w:pPr>
        <w:rPr>
          <w:rFonts w:eastAsia="Calibri"/>
          <w:lang w:val="nl-NL"/>
        </w:rPr>
      </w:pPr>
      <w:r w:rsidRPr="00301868">
        <w:rPr>
          <w:rFonts w:eastAsia="Calibri"/>
          <w:lang w:val="nl-NL"/>
        </w:rPr>
        <w:t>Mặc dù có một khung pháp lý về BHXH bao phủ toàn bộ dân số, nhưng công tác phát triển đối tượng tham gia bảo hiểm xã hội vẫn gặp những hạn chế, vướng mắc sau:</w:t>
      </w:r>
    </w:p>
    <w:p w14:paraId="563A7DCF" w14:textId="68972DDD" w:rsidR="008C1F7A" w:rsidRPr="00301868" w:rsidRDefault="008C1F7A" w:rsidP="007C2005">
      <w:pPr>
        <w:rPr>
          <w:rFonts w:eastAsia="Calibri"/>
          <w:lang w:val="nl-NL"/>
        </w:rPr>
      </w:pPr>
      <w:r w:rsidRPr="00301868">
        <w:rPr>
          <w:rFonts w:eastAsia="Calibri"/>
          <w:lang w:val="nl-NL"/>
        </w:rPr>
        <w:t xml:space="preserve">- Điều kiện 20 năm đóng BHXH để được hưởng chế độ hưu trí hàng tháng là </w:t>
      </w:r>
      <w:r w:rsidR="00795EDE" w:rsidRPr="00301868">
        <w:rPr>
          <w:rFonts w:eastAsia="Calibri"/>
          <w:lang w:val="vi-VN"/>
        </w:rPr>
        <w:t>khá</w:t>
      </w:r>
      <w:r w:rsidRPr="00301868">
        <w:rPr>
          <w:rFonts w:eastAsia="Calibri"/>
          <w:lang w:val="nl-NL"/>
        </w:rPr>
        <w:t xml:space="preserve"> dài không phù hợp với khả năng tạo và duy trì việc làm của nền kinh tế cho người lao động. Điều kiện để hưởng chế độ hưu trí này cùng với hoàn cảnh kinh tế khó khăn đã khiến nhiều người lao động </w:t>
      </w:r>
      <w:r w:rsidR="00CB18DF" w:rsidRPr="00301868">
        <w:rPr>
          <w:rFonts w:eastAsia="Calibri"/>
          <w:lang w:val="nl-NL"/>
        </w:rPr>
        <w:t>-</w:t>
      </w:r>
      <w:r w:rsidRPr="00301868">
        <w:rPr>
          <w:rFonts w:eastAsia="Calibri"/>
          <w:lang w:val="nl-NL"/>
        </w:rPr>
        <w:t xml:space="preserve"> phải quan tâm đến những nhu cầu trước mắt </w:t>
      </w:r>
      <w:r w:rsidR="00CB18DF" w:rsidRPr="00301868">
        <w:rPr>
          <w:rFonts w:eastAsia="Calibri"/>
          <w:lang w:val="nl-NL"/>
        </w:rPr>
        <w:t>-</w:t>
      </w:r>
      <w:r w:rsidRPr="00301868">
        <w:rPr>
          <w:rFonts w:eastAsia="Calibri"/>
          <w:lang w:val="nl-NL"/>
        </w:rPr>
        <w:t xml:space="preserve"> nản lòng trong quá trình theo đuổi đóng góp cho hệ thống BHXH để được hưởng hưu trí trong tương lai khi về già. </w:t>
      </w:r>
    </w:p>
    <w:p w14:paraId="24CB9C99" w14:textId="77777777" w:rsidR="008C1F7A" w:rsidRPr="00301868" w:rsidRDefault="008C1F7A" w:rsidP="007C2005">
      <w:pPr>
        <w:rPr>
          <w:rFonts w:eastAsia="Calibri"/>
          <w:lang w:val="nl-NL"/>
        </w:rPr>
      </w:pPr>
      <w:r w:rsidRPr="00301868">
        <w:rPr>
          <w:rFonts w:eastAsia="Calibri"/>
          <w:lang w:val="nl-NL"/>
        </w:rPr>
        <w:lastRenderedPageBreak/>
        <w:t xml:space="preserve">- Những nhóm đối tượng được Luật BHXH 2014 bổ sung điều chỉnh là những nhóm luôn biến động, không dễ quản lý. Đặc biệt vấn đề đóng góp tài chính và nhận thức của người sử dụng lao động luôn là yếu tố quyết định sự tham gia của nhóm lao động làm việc theo hợp đồng lao động có thời hạn từ đủ 01 tháng đến dưới 03 tháng. Đối với người lao động là công dân nước ngoài làm việc tại Việt Nam, việc tham gia BHXH bắt buộc (đặc biệt là chế độ hưu trí và tử tuất) phụ thuộc rất nhiều vào các Hiệp định song phương về BHXH giữa Việt Nam và các nước có công dân làm việc tại Việt Nam. Tuy nhiên hiện nay chúng ta mới chỉ đang tiến hành đàm phán với Hàn Quốc, và tổ chức các hoạt động trao đổi, tìm hiểu để hướng tới đàm phán chính thức với Nhật Bản. </w:t>
      </w:r>
    </w:p>
    <w:p w14:paraId="5BBF00CF" w14:textId="77777777" w:rsidR="008C1F7A" w:rsidRPr="00301868" w:rsidRDefault="008C1F7A" w:rsidP="007C2005">
      <w:pPr>
        <w:rPr>
          <w:rFonts w:eastAsia="Calibri"/>
          <w:lang w:val="nl-NL"/>
        </w:rPr>
      </w:pPr>
      <w:r w:rsidRPr="00301868">
        <w:rPr>
          <w:rFonts w:eastAsia="Calibri"/>
          <w:lang w:val="nl-NL"/>
        </w:rPr>
        <w:t xml:space="preserve">- Luật BHXH 2014 chưa điều chỉnh đối với những nhóm đối tượng có khả năng đóng góp để tham gia BHXH bắt buộc, bao gồm: (i) chủ hộ kinh doanh cá thể; (ii) người quản lý doanh nghiệp, người quản lý điều hành hợp tác xã không hưởng tiền lương và (iii) những người tham gia trong nền kinh tế chia sẻ phát sinh các quan hệ lao động mới không có hợp đồng lao động (Grab). </w:t>
      </w:r>
    </w:p>
    <w:p w14:paraId="0A85037F" w14:textId="03C8FF05" w:rsidR="008C1F7A" w:rsidRPr="00301868" w:rsidRDefault="008C1F7A" w:rsidP="007C2005">
      <w:pPr>
        <w:rPr>
          <w:rFonts w:eastAsia="Calibri"/>
          <w:lang w:val="nl-NL"/>
        </w:rPr>
      </w:pPr>
      <w:r w:rsidRPr="00301868">
        <w:rPr>
          <w:rFonts w:eastAsia="Calibri"/>
          <w:lang w:val="nl-NL"/>
        </w:rPr>
        <w:t xml:space="preserve">- Sự khác biệt lớn trong thụ hưởng các chế độ giữa BHXH bắt buộc và BHXH tự nguyện. Trong khi các rủi ro trước mắt về mất thu nhập như ốm đau, thai sản, nuôi con nhỏ </w:t>
      </w:r>
      <w:r w:rsidR="00CB18DF" w:rsidRPr="00301868">
        <w:rPr>
          <w:rFonts w:eastAsia="Calibri"/>
          <w:lang w:val="nl-NL"/>
        </w:rPr>
        <w:t>-</w:t>
      </w:r>
      <w:r w:rsidRPr="00301868">
        <w:rPr>
          <w:rFonts w:eastAsia="Calibri"/>
          <w:lang w:val="nl-NL"/>
        </w:rPr>
        <w:t xml:space="preserve"> ảnh hưởng trực tiếp đến đời sống cá nhân </w:t>
      </w:r>
      <w:r w:rsidR="00CB18DF" w:rsidRPr="00301868">
        <w:rPr>
          <w:rFonts w:eastAsia="Calibri"/>
          <w:lang w:val="nl-NL"/>
        </w:rPr>
        <w:t>-</w:t>
      </w:r>
      <w:r w:rsidRPr="00301868">
        <w:rPr>
          <w:rFonts w:eastAsia="Calibri"/>
          <w:lang w:val="nl-NL"/>
        </w:rPr>
        <w:t xml:space="preserve"> không được bảo hiểm, lại phải đóng góp và chờ đợi quá lâu để hưởng chế độ hưu trí và tử tuất đã khiến người lao động không mặn mà với BHXH tự nguyện. Vì vậy, mặc dù Nhà nước đã có chính sách hỗ trợ đóng BHXH đối với người tham gia tự nguyện</w:t>
      </w:r>
      <w:r w:rsidRPr="00301868">
        <w:rPr>
          <w:rFonts w:eastAsia="Calibri"/>
          <w:b/>
          <w:lang w:val="nl-NL"/>
        </w:rPr>
        <w:t xml:space="preserve"> </w:t>
      </w:r>
      <w:r w:rsidRPr="00301868">
        <w:rPr>
          <w:rFonts w:eastAsia="Calibri"/>
          <w:lang w:val="nl-NL"/>
        </w:rPr>
        <w:t>nhưng vẫn chưa có tác động lớn đến sự tham gia của người dân.</w:t>
      </w:r>
    </w:p>
    <w:p w14:paraId="5E362127" w14:textId="09292F10" w:rsidR="008C1F7A" w:rsidRPr="00301868" w:rsidRDefault="008C1F7A" w:rsidP="007C2005">
      <w:pPr>
        <w:rPr>
          <w:rFonts w:eastAsia="Calibri"/>
          <w:lang w:val="nl-NL"/>
        </w:rPr>
      </w:pPr>
      <w:r w:rsidRPr="00301868">
        <w:rPr>
          <w:rFonts w:eastAsia="Calibri"/>
          <w:lang w:val="nl-NL"/>
        </w:rPr>
        <w:t xml:space="preserve">- Mức độ phát triển đối tượng tham gia BHXH bắt buộc phụ thuộc rất lớn vào sự tham gia của những người sử dụng lao động. Tuy nhiên, theo số liệu Khảo sát doanh nghiệp năm 2014, các doanh nghiệp nhỏ và vừa (DNNVV) chiếm tới 95,9% trong tổng số 415.656 doanh nghiệp đang hoạt động, trong đó doanh nghiệp siêu nhỏ, nhỏ và vừa lần lượt chiếm 65,2%; 29,3% và 1,4%. Các doanh nghiệp siêu nhỏ, nhỏ và vừa thường gặp khó khăn trong hoạt động sản xuất </w:t>
      </w:r>
      <w:r w:rsidR="00CB18DF" w:rsidRPr="00301868">
        <w:rPr>
          <w:rFonts w:eastAsia="Calibri"/>
          <w:lang w:val="nl-NL"/>
        </w:rPr>
        <w:t>-</w:t>
      </w:r>
      <w:r w:rsidRPr="00301868">
        <w:rPr>
          <w:rFonts w:eastAsia="Calibri"/>
          <w:lang w:val="nl-NL"/>
        </w:rPr>
        <w:t xml:space="preserve"> kinh doanh nên khó có thể thực hiện nghĩa vụ pháp lý về BHXH đối với người lao động của mình.   </w:t>
      </w:r>
    </w:p>
    <w:p w14:paraId="4925C319" w14:textId="77777777" w:rsidR="008C1F7A" w:rsidRPr="00301868" w:rsidRDefault="008C1F7A" w:rsidP="007C2005">
      <w:pPr>
        <w:rPr>
          <w:rFonts w:eastAsia="Calibri"/>
          <w:lang w:val="nl-NL"/>
        </w:rPr>
      </w:pPr>
      <w:r w:rsidRPr="00301868">
        <w:rPr>
          <w:rFonts w:eastAsia="Calibri"/>
          <w:lang w:val="nl-NL"/>
        </w:rPr>
        <w:t xml:space="preserve">- Thiếu cơ chế phối hợp giữa cơ quan thuế và cơ quan BHXH trong giám sát công tác phát triển đối tượng tham gia bảo hiểm xã hội bắt buộc. Một cơ chế phối hợp như vậy sẽ cho phép chia sẻ số liệu về quyết toán thuế của các doanh nghiệp nhằm đảm bảo không có sự chênh lệch giữa số lượng lao động mà doanh nghiệp thực tế có đóng BHXH cho họ và số lượng lao động thực hiện quyết toán thuế. Năm 2018, theo dữ liệu cơ quan Thuế cung cấp,  có 204.720 đơn vị, doanh nghiệp không tham gia BHXH, bảo hiểm y tế và còn 256.819 đơn vị, doanh nghiệp chưa tham gia đầy đủ BHXH, bảo hiểm y tế cho người lao động, với số lượng lao động chênh lệch lên trên 3,5 triệu người giữa số liệu cơ quan Thuế </w:t>
      </w:r>
      <w:r w:rsidRPr="00301868">
        <w:rPr>
          <w:rFonts w:eastAsia="Calibri"/>
          <w:lang w:val="nl-NL"/>
        </w:rPr>
        <w:lastRenderedPageBreak/>
        <w:t>cung cấp (khoảng 18 triệu lao động và cá nhân có thu nhập) và số liệu đang quản lý thu của cơ quan BHXH (trên 14,4 triệu người)</w:t>
      </w:r>
      <w:r w:rsidRPr="00301868">
        <w:rPr>
          <w:rFonts w:eastAsia="Calibri"/>
          <w:vertAlign w:val="superscript"/>
          <w:lang w:val="en-US"/>
        </w:rPr>
        <w:footnoteReference w:id="14"/>
      </w:r>
      <w:r w:rsidRPr="00301868">
        <w:rPr>
          <w:rFonts w:eastAsia="Calibri"/>
          <w:lang w:val="nl-NL"/>
        </w:rPr>
        <w:t>. Còn năm 2019, ước tính có gần 205 nghìn tổ chức, cá nhân có nhưng không tham gia BHXH bắt buộc cho người lao động; gần 257 nghìn tổ chức, cá nhân chưa tham gia đầy đủ cho người lao động, với số lao động chênh lệch gần 3 triệu người giữa số liệu cơ quan Thuế cung cấp (khoảng 18 triệu lao động và cá nhân có thu nhập) và số liệu đang quản lý thu của cơ quan BHXH (gần 15,2 triệu người).</w:t>
      </w:r>
    </w:p>
    <w:p w14:paraId="36725F3B" w14:textId="12C09760" w:rsidR="008C1F7A" w:rsidRPr="00301868" w:rsidRDefault="008C1F7A" w:rsidP="001875BF">
      <w:pPr>
        <w:pStyle w:val="Heading3"/>
        <w:rPr>
          <w:rFonts w:eastAsia="Calibri"/>
          <w:lang w:val="nl-NL"/>
        </w:rPr>
      </w:pPr>
      <w:bookmarkStart w:id="22" w:name="_Toc63186691"/>
      <w:r w:rsidRPr="00301868">
        <w:rPr>
          <w:rFonts w:eastAsia="Calibri"/>
          <w:lang w:val="nl-NL"/>
        </w:rPr>
        <w:t>1.</w:t>
      </w:r>
      <w:r w:rsidR="009E5C33" w:rsidRPr="00301868">
        <w:rPr>
          <w:rFonts w:eastAsia="Calibri"/>
          <w:lang w:val="nl-NL"/>
        </w:rPr>
        <w:t>3</w:t>
      </w:r>
      <w:r w:rsidR="001875BF" w:rsidRPr="00301868">
        <w:rPr>
          <w:rFonts w:eastAsia="Calibri"/>
          <w:lang w:val="nl-NL"/>
        </w:rPr>
        <w:t>.</w:t>
      </w:r>
      <w:r w:rsidRPr="00301868">
        <w:rPr>
          <w:rFonts w:eastAsia="Calibri"/>
          <w:lang w:val="nl-NL"/>
        </w:rPr>
        <w:t xml:space="preserve"> Các giải pháp để phát triển hiệu quả đối tượng tham gia bảo hiểm xã hội</w:t>
      </w:r>
      <w:bookmarkEnd w:id="22"/>
      <w:r w:rsidRPr="00301868">
        <w:rPr>
          <w:rFonts w:eastAsia="Calibri"/>
          <w:lang w:val="nl-NL"/>
        </w:rPr>
        <w:t xml:space="preserve"> </w:t>
      </w:r>
    </w:p>
    <w:p w14:paraId="39DB025D" w14:textId="77777777" w:rsidR="008C1F7A" w:rsidRPr="00301868" w:rsidRDefault="008C1F7A" w:rsidP="001875BF">
      <w:pPr>
        <w:rPr>
          <w:rFonts w:eastAsia="Calibri"/>
          <w:lang w:val="nl-NL"/>
        </w:rPr>
      </w:pPr>
      <w:r w:rsidRPr="00301868">
        <w:rPr>
          <w:rFonts w:eastAsia="Calibri"/>
          <w:lang w:val="nl-NL"/>
        </w:rPr>
        <w:t>Bên cạnh tăng cường sự lãnh đạo chỉ đạo của các cấp ủy đảng, chính quyền và những giải pháp đẩy mạnh công tác tuyên truyền, phổ biến cũng như thanh tra, kiểm tra việc thực hiện pháp luật về BHXH, những khía cạnh pháp lý sau đây cần được xem xét, bổ sung:</w:t>
      </w:r>
    </w:p>
    <w:p w14:paraId="0735F90B" w14:textId="77777777" w:rsidR="008C1F7A" w:rsidRPr="00301868" w:rsidRDefault="008C1F7A" w:rsidP="001875BF">
      <w:pPr>
        <w:rPr>
          <w:rFonts w:eastAsia="Calibri"/>
          <w:lang w:val="nl-NL"/>
        </w:rPr>
      </w:pPr>
      <w:r w:rsidRPr="00301868">
        <w:rPr>
          <w:rFonts w:eastAsia="Calibri"/>
          <w:lang w:val="nl-NL"/>
        </w:rPr>
        <w:t xml:space="preserve">- Trên 10 năm đóng BHXH là một khoảng thời gian rất cần được quan tâm ở Việt Nam hiện nay vì liên quan đến quyền hưởng hưu trí của người lao động cũng như liên quan đến chiến lược mở rộng diện bao phủ BHXH hướng tới BHXH toàn dân. 10 năm là khoảng thời gian mà ở nhiều quốc gia khác được coi là đủ điều kiện để hưởng chế độ hưu trí khi họ đến tuổi nghỉ hưu theo luật định với mức hưởng có thể thấp. Công ước về An sinh xã hội (các tiêu chuẩn tối thiểu) năm 1952 (No. 102) và Công ước về các chế độ Mất sức lao động, Hưu trí và Tử tuất, năm 1967 (No. 128) của Tổ chức Lao động Quốc tế nêu rõ một tỷ lệ hưởng hưu trí được giảm bớt đối với những người lao động có 15 năm hoặc 10 năm đóng góp hoặc làm việc. </w:t>
      </w:r>
    </w:p>
    <w:p w14:paraId="5C6CEAD9" w14:textId="77777777" w:rsidR="008C1F7A" w:rsidRPr="00301868" w:rsidRDefault="008C1F7A" w:rsidP="001875BF">
      <w:pPr>
        <w:rPr>
          <w:rFonts w:eastAsia="Calibri"/>
          <w:lang w:val="nl-NL"/>
        </w:rPr>
      </w:pPr>
      <w:r w:rsidRPr="00301868">
        <w:rPr>
          <w:rFonts w:eastAsia="Calibri"/>
          <w:lang w:val="nl-NL"/>
        </w:rPr>
        <w:t>- Đưa những nhóm (i) chủ hộ kinh doanh cá thể; (ii) người quản lý doanh nghiệp, người quản lý điều hành hợp tác xã không hưởng tiền lương và (iii) những người tham gia trong nền kinh tế chia sẻ phát sinh các quan hệ lao động mới không có hợp đồng lao động (Grab) vào đối tượng tham gia BHXH bắt buộc.</w:t>
      </w:r>
    </w:p>
    <w:p w14:paraId="49485C39" w14:textId="77777777" w:rsidR="008C1F7A" w:rsidRPr="00301868" w:rsidRDefault="008C1F7A" w:rsidP="001875BF">
      <w:pPr>
        <w:rPr>
          <w:rFonts w:eastAsia="Calibri"/>
          <w:lang w:val="nl-NL"/>
        </w:rPr>
      </w:pPr>
      <w:r w:rsidRPr="00301868">
        <w:rPr>
          <w:rFonts w:eastAsia="Calibri"/>
          <w:lang w:val="nl-NL"/>
        </w:rPr>
        <w:t>- Sự hỗ trợ đóng BHXH của Nhà nước đối với người tham gia BHXH tự nguyện sẽ giảm bớt sự khác biệt giữa BHXH bắt buộc và BHXH tự nguyện  cũng như tăng sức hấp dẫn của chính sách BHXH dành cho nhóm đối tượng không có quan hệ lao động. Tuy nhiên việc hỗ trợ kết hợp với mở rộng các chế độ thai sản, nuôi con nhỏ trong BHXH tự nguyện cần được xem xét để đáp ứng nhu cầu của người dân.</w:t>
      </w:r>
    </w:p>
    <w:p w14:paraId="373F2AC2" w14:textId="77777777" w:rsidR="008C1F7A" w:rsidRPr="00301868" w:rsidRDefault="008C1F7A" w:rsidP="001875BF">
      <w:pPr>
        <w:rPr>
          <w:rFonts w:eastAsia="Calibri"/>
          <w:lang w:val="nl-NL"/>
        </w:rPr>
      </w:pPr>
      <w:r w:rsidRPr="00301868">
        <w:rPr>
          <w:rFonts w:eastAsia="Calibri"/>
          <w:lang w:val="nl-NL"/>
        </w:rPr>
        <w:t xml:space="preserve">- Gắn kết chặt chẽ các chính sách BHXH với chính sách hỗ trợ doanh nghiệp nhỏ và vừa để có thể duy trì khả năng và năng lực đóng BHXH cho người lao động của họ. </w:t>
      </w:r>
    </w:p>
    <w:p w14:paraId="09D63809" w14:textId="77777777" w:rsidR="008C1F7A" w:rsidRPr="00301868" w:rsidRDefault="008C1F7A" w:rsidP="001875BF">
      <w:pPr>
        <w:rPr>
          <w:rFonts w:eastAsia="Calibri"/>
          <w:lang w:val="nl-NL"/>
        </w:rPr>
      </w:pPr>
      <w:r w:rsidRPr="00301868">
        <w:rPr>
          <w:rFonts w:eastAsia="Calibri"/>
          <w:lang w:val="nl-NL"/>
        </w:rPr>
        <w:lastRenderedPageBreak/>
        <w:t xml:space="preserve">- Thể chế hóa cơ chế phối hợp giữa cơ quan thuế và cơ quan BHXH trong giám sát công tác phát triển đối tượng tham gia bảo hiểm xã hội. </w:t>
      </w:r>
    </w:p>
    <w:p w14:paraId="2C0916E8" w14:textId="745BDD72" w:rsidR="008C1F7A" w:rsidRPr="00301868" w:rsidRDefault="008C1F7A" w:rsidP="001875BF">
      <w:pPr>
        <w:pStyle w:val="Heading2"/>
        <w:rPr>
          <w:rFonts w:eastAsia="Calibri"/>
          <w:lang w:val="vi-VN"/>
        </w:rPr>
      </w:pPr>
      <w:bookmarkStart w:id="23" w:name="_Toc63186692"/>
      <w:r w:rsidRPr="00301868">
        <w:rPr>
          <w:rFonts w:eastAsia="Calibri"/>
          <w:lang w:val="nl-NL"/>
        </w:rPr>
        <w:t>II. CÔNG TÁC THU BHXH GIAI ĐOẠN 2016</w:t>
      </w:r>
      <w:r w:rsidR="00795EDE" w:rsidRPr="00301868">
        <w:rPr>
          <w:rFonts w:eastAsia="Calibri"/>
          <w:lang w:val="vi-VN"/>
        </w:rPr>
        <w:t xml:space="preserve"> </w:t>
      </w:r>
      <w:r w:rsidR="00CB18DF" w:rsidRPr="00301868">
        <w:rPr>
          <w:rFonts w:eastAsia="Calibri"/>
          <w:lang w:val="nl-NL"/>
        </w:rPr>
        <w:t>-</w:t>
      </w:r>
      <w:r w:rsidR="00795EDE" w:rsidRPr="00301868">
        <w:rPr>
          <w:rFonts w:eastAsia="Calibri"/>
          <w:lang w:val="vi-VN"/>
        </w:rPr>
        <w:t xml:space="preserve"> </w:t>
      </w:r>
      <w:r w:rsidRPr="00301868">
        <w:rPr>
          <w:rFonts w:eastAsia="Calibri"/>
          <w:lang w:val="nl-NL"/>
        </w:rPr>
        <w:t>20</w:t>
      </w:r>
      <w:r w:rsidR="00795EDE" w:rsidRPr="00301868">
        <w:rPr>
          <w:rFonts w:eastAsia="Calibri"/>
          <w:lang w:val="vi-VN"/>
        </w:rPr>
        <w:t>20</w:t>
      </w:r>
      <w:bookmarkEnd w:id="23"/>
    </w:p>
    <w:p w14:paraId="3E1E2F59" w14:textId="48C0A832" w:rsidR="008C1F7A" w:rsidRPr="00301868" w:rsidRDefault="008C1F7A" w:rsidP="001875BF">
      <w:pPr>
        <w:pStyle w:val="Heading3"/>
        <w:rPr>
          <w:rFonts w:eastAsia="Calibri"/>
          <w:lang w:val="nl-NL"/>
        </w:rPr>
      </w:pPr>
      <w:bookmarkStart w:id="24" w:name="_Toc63186693"/>
      <w:r w:rsidRPr="00301868">
        <w:rPr>
          <w:rFonts w:eastAsia="Calibri"/>
          <w:lang w:val="nl-NL"/>
        </w:rPr>
        <w:t>2.1</w:t>
      </w:r>
      <w:r w:rsidR="001875BF" w:rsidRPr="00301868">
        <w:rPr>
          <w:rFonts w:eastAsia="Calibri"/>
          <w:lang w:val="nl-NL"/>
        </w:rPr>
        <w:t>.</w:t>
      </w:r>
      <w:r w:rsidRPr="00301868">
        <w:rPr>
          <w:rFonts w:eastAsia="Calibri"/>
          <w:lang w:val="nl-NL"/>
        </w:rPr>
        <w:t xml:space="preserve"> Tình hình thu BHXH</w:t>
      </w:r>
      <w:bookmarkEnd w:id="24"/>
      <w:r w:rsidRPr="00301868">
        <w:rPr>
          <w:rFonts w:eastAsia="Calibri"/>
          <w:lang w:val="nl-NL"/>
        </w:rPr>
        <w:t xml:space="preserve"> </w:t>
      </w:r>
    </w:p>
    <w:p w14:paraId="77DD2C7A" w14:textId="77777777" w:rsidR="008C1F7A" w:rsidRPr="00301868" w:rsidRDefault="008C1F7A" w:rsidP="008C1F7A">
      <w:pPr>
        <w:spacing w:before="40" w:after="0" w:line="240" w:lineRule="auto"/>
        <w:rPr>
          <w:rFonts w:eastAsia="Calibri"/>
          <w:lang w:val="nl-NL"/>
        </w:rPr>
      </w:pPr>
      <w:r w:rsidRPr="00301868">
        <w:rPr>
          <w:rFonts w:eastAsia="Calibri"/>
          <w:lang w:val="nl-NL"/>
        </w:rPr>
        <w:t xml:space="preserve">Thu BHXH là một nội dung quan trọng trong thực hiện Luật BHXH 2014 nhằm đảm bảo sự ổn định của quỹ BHXH và chi trả kịp thời các chế độ cho những người tham gia khi gặp rủi ro. Ứng dụng công nghệ thông tin vào nghiệp vụ thu BHXH đã góp phần tạo nên hiệu quả cao trong công tác thu BHXH. Số thu BHXH trên cả nước luôn tăng cao, năm sau cao hơn năm trước và luôn vượt kế hoạch được đặt ra (Biểu 5). </w:t>
      </w:r>
    </w:p>
    <w:p w14:paraId="7111CB97" w14:textId="77777777" w:rsidR="008C1F7A" w:rsidRPr="00301868" w:rsidRDefault="008C1F7A" w:rsidP="008C1F7A">
      <w:pPr>
        <w:spacing w:after="0" w:line="240" w:lineRule="auto"/>
        <w:ind w:firstLine="0"/>
        <w:jc w:val="center"/>
        <w:rPr>
          <w:rFonts w:eastAsia="Calibri"/>
          <w:b/>
          <w:lang w:val="pt-BR"/>
        </w:rPr>
      </w:pPr>
    </w:p>
    <w:p w14:paraId="52BC45D5" w14:textId="16AC46BA" w:rsidR="008C1F7A" w:rsidRPr="00301868" w:rsidRDefault="008C1F7A" w:rsidP="008C1F7A">
      <w:pPr>
        <w:spacing w:after="0" w:line="240" w:lineRule="auto"/>
        <w:ind w:firstLine="0"/>
        <w:jc w:val="center"/>
        <w:rPr>
          <w:rFonts w:eastAsia="Calibri"/>
          <w:b/>
          <w:lang w:val="pt-BR"/>
        </w:rPr>
      </w:pPr>
      <w:r w:rsidRPr="00301868">
        <w:rPr>
          <w:rFonts w:eastAsia="Calibri"/>
          <w:b/>
          <w:lang w:val="pt-BR"/>
        </w:rPr>
        <w:t>Biểu 5: Tình hình thu BHXH giai đoạn 2016</w:t>
      </w:r>
      <w:r w:rsidR="00AF5B80" w:rsidRPr="00301868">
        <w:rPr>
          <w:rFonts w:eastAsia="Calibri"/>
          <w:b/>
          <w:lang w:val="vi-VN"/>
        </w:rPr>
        <w:t xml:space="preserve"> </w:t>
      </w:r>
      <w:r w:rsidR="00CB18DF" w:rsidRPr="00301868">
        <w:rPr>
          <w:rFonts w:eastAsia="Calibri"/>
          <w:b/>
          <w:lang w:val="pt-BR"/>
        </w:rPr>
        <w:t>-</w:t>
      </w:r>
      <w:r w:rsidR="00AF5B80" w:rsidRPr="00301868">
        <w:rPr>
          <w:rFonts w:eastAsia="Calibri"/>
          <w:b/>
          <w:lang w:val="vi-VN"/>
        </w:rPr>
        <w:t xml:space="preserve"> </w:t>
      </w:r>
      <w:r w:rsidRPr="00301868">
        <w:rPr>
          <w:rFonts w:eastAsia="Calibri"/>
          <w:b/>
          <w:lang w:val="pt-BR"/>
        </w:rPr>
        <w:t>2019</w:t>
      </w:r>
    </w:p>
    <w:p w14:paraId="1BCFDE76" w14:textId="77777777" w:rsidR="008C1F7A" w:rsidRPr="00301868" w:rsidRDefault="008C1F7A" w:rsidP="008C1F7A">
      <w:pPr>
        <w:spacing w:after="0" w:line="240" w:lineRule="auto"/>
        <w:ind w:firstLine="0"/>
        <w:jc w:val="center"/>
        <w:rPr>
          <w:rFonts w:eastAsia="Calibri"/>
          <w:b/>
          <w:sz w:val="24"/>
          <w:szCs w:val="24"/>
          <w:lang w:val="pt-BR"/>
        </w:rPr>
      </w:pPr>
    </w:p>
    <w:p w14:paraId="109625CB" w14:textId="77777777" w:rsidR="008C1F7A" w:rsidRPr="00301868" w:rsidRDefault="008C1F7A" w:rsidP="008C1F7A">
      <w:pPr>
        <w:tabs>
          <w:tab w:val="center" w:pos="7286"/>
          <w:tab w:val="right" w:pos="14572"/>
        </w:tabs>
        <w:spacing w:after="0" w:line="240" w:lineRule="auto"/>
        <w:ind w:firstLine="0"/>
        <w:jc w:val="right"/>
        <w:rPr>
          <w:rFonts w:eastAsia="Calibri"/>
          <w:i/>
          <w:sz w:val="24"/>
          <w:szCs w:val="24"/>
          <w:lang w:val="pt-BR"/>
        </w:rPr>
      </w:pPr>
      <w:r w:rsidRPr="00301868">
        <w:rPr>
          <w:rFonts w:eastAsia="Calibri"/>
          <w:i/>
          <w:sz w:val="24"/>
          <w:szCs w:val="24"/>
          <w:lang w:val="pt-BR"/>
        </w:rPr>
        <w:t>Đơn vị tính: người, đồng</w:t>
      </w:r>
    </w:p>
    <w:tbl>
      <w:tblPr>
        <w:tblW w:w="9370" w:type="dxa"/>
        <w:tblCellMar>
          <w:left w:w="0" w:type="dxa"/>
          <w:right w:w="0" w:type="dxa"/>
        </w:tblCellMar>
        <w:tblLook w:val="04A0" w:firstRow="1" w:lastRow="0" w:firstColumn="1" w:lastColumn="0" w:noHBand="0" w:noVBand="1"/>
      </w:tblPr>
      <w:tblGrid>
        <w:gridCol w:w="1120"/>
        <w:gridCol w:w="3220"/>
        <w:gridCol w:w="2510"/>
        <w:gridCol w:w="2520"/>
      </w:tblGrid>
      <w:tr w:rsidR="008C1F7A" w:rsidRPr="00301868" w14:paraId="6BBBD8A2" w14:textId="77777777" w:rsidTr="00CB18DF">
        <w:trPr>
          <w:trHeight w:val="390"/>
        </w:trPr>
        <w:tc>
          <w:tcPr>
            <w:tcW w:w="1120" w:type="dxa"/>
            <w:tcBorders>
              <w:top w:val="single" w:sz="8" w:space="0" w:color="auto"/>
              <w:left w:val="single" w:sz="8" w:space="0" w:color="auto"/>
              <w:bottom w:val="single" w:sz="8" w:space="0" w:color="auto"/>
              <w:right w:val="nil"/>
            </w:tcBorders>
            <w:shd w:val="clear" w:color="auto" w:fill="auto"/>
            <w:noWrap/>
            <w:vAlign w:val="center"/>
            <w:hideMark/>
          </w:tcPr>
          <w:p w14:paraId="6B3496D0" w14:textId="77777777" w:rsidR="008C1F7A" w:rsidRPr="00301868" w:rsidRDefault="008C1F7A" w:rsidP="008C1F7A">
            <w:pPr>
              <w:spacing w:before="80" w:after="80" w:line="240" w:lineRule="auto"/>
              <w:ind w:firstLine="0"/>
              <w:jc w:val="center"/>
              <w:rPr>
                <w:rFonts w:eastAsia="Calibri"/>
                <w:b/>
                <w:bCs/>
                <w:color w:val="000000"/>
                <w:lang w:val="en-US"/>
              </w:rPr>
            </w:pPr>
            <w:r w:rsidRPr="00301868">
              <w:rPr>
                <w:rFonts w:eastAsia="Calibri"/>
                <w:b/>
                <w:bCs/>
                <w:color w:val="000000"/>
                <w:lang w:val="en-US"/>
              </w:rPr>
              <w:t>Năm</w:t>
            </w:r>
          </w:p>
        </w:tc>
        <w:tc>
          <w:tcPr>
            <w:tcW w:w="32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AA0FF" w14:textId="77777777" w:rsidR="008C1F7A" w:rsidRPr="00301868" w:rsidRDefault="008C1F7A" w:rsidP="008C1F7A">
            <w:pPr>
              <w:spacing w:before="80" w:after="80" w:line="240" w:lineRule="auto"/>
              <w:ind w:firstLine="0"/>
              <w:jc w:val="center"/>
              <w:rPr>
                <w:rFonts w:eastAsia="Calibri"/>
                <w:b/>
                <w:bCs/>
                <w:color w:val="000000"/>
                <w:lang w:val="en-US"/>
              </w:rPr>
            </w:pPr>
            <w:r w:rsidRPr="00301868">
              <w:rPr>
                <w:rFonts w:eastAsia="Calibri"/>
                <w:b/>
                <w:bCs/>
                <w:color w:val="000000"/>
                <w:lang w:val="en-US"/>
              </w:rPr>
              <w:t>Tiêu chí</w:t>
            </w:r>
          </w:p>
        </w:tc>
        <w:tc>
          <w:tcPr>
            <w:tcW w:w="2510" w:type="dxa"/>
            <w:tcBorders>
              <w:top w:val="single" w:sz="8" w:space="0" w:color="auto"/>
              <w:left w:val="nil"/>
              <w:bottom w:val="nil"/>
              <w:right w:val="nil"/>
            </w:tcBorders>
            <w:shd w:val="clear" w:color="auto" w:fill="auto"/>
            <w:vAlign w:val="center"/>
            <w:hideMark/>
          </w:tcPr>
          <w:p w14:paraId="704F4527" w14:textId="77777777" w:rsidR="008C1F7A" w:rsidRPr="00301868" w:rsidRDefault="008C1F7A" w:rsidP="008C1F7A">
            <w:pPr>
              <w:spacing w:before="80" w:after="80" w:line="240" w:lineRule="auto"/>
              <w:ind w:firstLine="0"/>
              <w:jc w:val="center"/>
              <w:rPr>
                <w:rFonts w:eastAsia="Calibri"/>
                <w:b/>
                <w:bCs/>
                <w:lang w:val="en-US"/>
              </w:rPr>
            </w:pPr>
            <w:r w:rsidRPr="00301868">
              <w:rPr>
                <w:rFonts w:eastAsia="Calibri"/>
                <w:b/>
                <w:bCs/>
                <w:lang w:val="en-US"/>
              </w:rPr>
              <w:t>BHXH bắt buộc</w:t>
            </w:r>
          </w:p>
        </w:tc>
        <w:tc>
          <w:tcPr>
            <w:tcW w:w="2520" w:type="dxa"/>
            <w:tcBorders>
              <w:top w:val="single" w:sz="8" w:space="0" w:color="auto"/>
              <w:left w:val="single" w:sz="8" w:space="0" w:color="auto"/>
              <w:bottom w:val="nil"/>
              <w:right w:val="single" w:sz="8" w:space="0" w:color="auto"/>
            </w:tcBorders>
            <w:shd w:val="clear" w:color="auto" w:fill="auto"/>
            <w:vAlign w:val="center"/>
            <w:hideMark/>
          </w:tcPr>
          <w:p w14:paraId="2C1CE64D" w14:textId="77777777" w:rsidR="008C1F7A" w:rsidRPr="00301868" w:rsidRDefault="008C1F7A" w:rsidP="008C1F7A">
            <w:pPr>
              <w:spacing w:before="80" w:after="80" w:line="240" w:lineRule="auto"/>
              <w:ind w:firstLine="0"/>
              <w:jc w:val="center"/>
              <w:rPr>
                <w:rFonts w:eastAsia="Calibri"/>
                <w:b/>
                <w:bCs/>
                <w:lang w:val="en-US"/>
              </w:rPr>
            </w:pPr>
            <w:r w:rsidRPr="00301868">
              <w:rPr>
                <w:rFonts w:eastAsia="Calibri"/>
                <w:b/>
                <w:bCs/>
                <w:lang w:val="en-US"/>
              </w:rPr>
              <w:t>BHXH tự nguyện</w:t>
            </w:r>
          </w:p>
        </w:tc>
      </w:tr>
      <w:tr w:rsidR="008C1F7A" w:rsidRPr="00301868" w14:paraId="4BB62227" w14:textId="77777777" w:rsidTr="00CB18DF">
        <w:trPr>
          <w:trHeight w:val="375"/>
        </w:trPr>
        <w:tc>
          <w:tcPr>
            <w:tcW w:w="0" w:type="auto"/>
            <w:vMerge w:val="restart"/>
            <w:tcBorders>
              <w:top w:val="nil"/>
              <w:left w:val="single" w:sz="8" w:space="0" w:color="auto"/>
              <w:bottom w:val="single" w:sz="8" w:space="0" w:color="000000"/>
              <w:right w:val="nil"/>
            </w:tcBorders>
            <w:shd w:val="clear" w:color="auto" w:fill="auto"/>
            <w:noWrap/>
            <w:vAlign w:val="center"/>
            <w:hideMark/>
          </w:tcPr>
          <w:p w14:paraId="2072B5B1" w14:textId="77777777" w:rsidR="008C1F7A" w:rsidRPr="00301868" w:rsidRDefault="008C1F7A" w:rsidP="008C1F7A">
            <w:pPr>
              <w:spacing w:before="80" w:after="80" w:line="240" w:lineRule="auto"/>
              <w:ind w:firstLine="0"/>
              <w:jc w:val="center"/>
              <w:rPr>
                <w:rFonts w:eastAsia="Calibri"/>
                <w:b/>
                <w:bCs/>
                <w:color w:val="000000"/>
                <w:lang w:val="en-US"/>
              </w:rPr>
            </w:pPr>
            <w:r w:rsidRPr="00301868">
              <w:rPr>
                <w:rFonts w:eastAsia="Calibri"/>
                <w:b/>
                <w:bCs/>
                <w:color w:val="000000"/>
                <w:lang w:val="en-US"/>
              </w:rPr>
              <w:t>2016</w:t>
            </w:r>
          </w:p>
        </w:tc>
        <w:tc>
          <w:tcPr>
            <w:tcW w:w="3220" w:type="dxa"/>
            <w:tcBorders>
              <w:top w:val="nil"/>
              <w:left w:val="single" w:sz="8" w:space="0" w:color="auto"/>
              <w:bottom w:val="single" w:sz="4" w:space="0" w:color="auto"/>
              <w:right w:val="single" w:sz="8" w:space="0" w:color="auto"/>
            </w:tcBorders>
            <w:shd w:val="clear" w:color="auto" w:fill="auto"/>
            <w:vAlign w:val="center"/>
            <w:hideMark/>
          </w:tcPr>
          <w:p w14:paraId="6BB0FE12" w14:textId="77777777" w:rsidR="008C1F7A" w:rsidRPr="00301868" w:rsidRDefault="008C1F7A" w:rsidP="008C1F7A">
            <w:pPr>
              <w:spacing w:before="80" w:after="80" w:line="240" w:lineRule="auto"/>
              <w:ind w:left="60" w:firstLine="0"/>
              <w:jc w:val="left"/>
              <w:rPr>
                <w:rFonts w:eastAsia="Calibri"/>
                <w:lang w:val="en-US"/>
              </w:rPr>
            </w:pPr>
            <w:r w:rsidRPr="00301868">
              <w:rPr>
                <w:rFonts w:eastAsia="Calibri"/>
                <w:lang w:val="en-US"/>
              </w:rPr>
              <w:t xml:space="preserve"> Số người tham gia</w:t>
            </w:r>
          </w:p>
        </w:tc>
        <w:tc>
          <w:tcPr>
            <w:tcW w:w="2510" w:type="dxa"/>
            <w:tcBorders>
              <w:top w:val="single" w:sz="8" w:space="0" w:color="auto"/>
              <w:left w:val="nil"/>
              <w:bottom w:val="single" w:sz="4" w:space="0" w:color="auto"/>
              <w:right w:val="nil"/>
            </w:tcBorders>
            <w:shd w:val="clear" w:color="auto" w:fill="auto"/>
            <w:noWrap/>
            <w:vAlign w:val="center"/>
            <w:hideMark/>
          </w:tcPr>
          <w:p w14:paraId="000FF047" w14:textId="77777777" w:rsidR="008C1F7A" w:rsidRPr="00301868" w:rsidRDefault="008C1F7A" w:rsidP="008C1F7A">
            <w:pPr>
              <w:spacing w:before="80" w:after="80" w:line="240" w:lineRule="auto"/>
              <w:ind w:right="180" w:firstLine="0"/>
              <w:jc w:val="right"/>
              <w:rPr>
                <w:rFonts w:eastAsia="Calibri"/>
                <w:lang w:val="en-US"/>
              </w:rPr>
            </w:pPr>
            <w:r w:rsidRPr="00301868">
              <w:rPr>
                <w:rFonts w:eastAsia="Calibri"/>
                <w:lang w:val="en-US"/>
              </w:rPr>
              <w:t xml:space="preserve">12,851,833  </w:t>
            </w:r>
          </w:p>
        </w:tc>
        <w:tc>
          <w:tcPr>
            <w:tcW w:w="2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E819175" w14:textId="77777777" w:rsidR="008C1F7A" w:rsidRPr="00301868" w:rsidRDefault="008C1F7A" w:rsidP="008C1F7A">
            <w:pPr>
              <w:spacing w:before="80" w:after="80" w:line="240" w:lineRule="auto"/>
              <w:ind w:right="180" w:firstLine="0"/>
              <w:jc w:val="right"/>
              <w:rPr>
                <w:rFonts w:eastAsia="Calibri"/>
                <w:lang w:val="en-US"/>
              </w:rPr>
            </w:pPr>
            <w:r w:rsidRPr="00301868">
              <w:rPr>
                <w:rFonts w:eastAsia="Calibri"/>
                <w:lang w:val="en-US"/>
              </w:rPr>
              <w:t>203,871</w:t>
            </w:r>
          </w:p>
        </w:tc>
      </w:tr>
      <w:tr w:rsidR="008C1F7A" w:rsidRPr="00301868" w14:paraId="2DDE0EC2" w14:textId="77777777" w:rsidTr="00CB18DF">
        <w:trPr>
          <w:trHeight w:val="375"/>
        </w:trPr>
        <w:tc>
          <w:tcPr>
            <w:tcW w:w="0" w:type="auto"/>
            <w:vMerge/>
            <w:tcBorders>
              <w:top w:val="nil"/>
              <w:left w:val="single" w:sz="8" w:space="0" w:color="auto"/>
              <w:bottom w:val="single" w:sz="8" w:space="0" w:color="000000"/>
              <w:right w:val="nil"/>
            </w:tcBorders>
            <w:vAlign w:val="center"/>
            <w:hideMark/>
          </w:tcPr>
          <w:p w14:paraId="254901F8" w14:textId="77777777" w:rsidR="008C1F7A" w:rsidRPr="00301868" w:rsidRDefault="008C1F7A" w:rsidP="008C1F7A">
            <w:pPr>
              <w:spacing w:before="80" w:after="80" w:line="240" w:lineRule="auto"/>
              <w:ind w:firstLine="0"/>
              <w:jc w:val="center"/>
              <w:rPr>
                <w:rFonts w:eastAsia="Calibri"/>
                <w:b/>
                <w:bCs/>
                <w:color w:val="000000"/>
                <w:lang w:val="en-US"/>
              </w:rPr>
            </w:pPr>
          </w:p>
        </w:tc>
        <w:tc>
          <w:tcPr>
            <w:tcW w:w="3220" w:type="dxa"/>
            <w:tcBorders>
              <w:top w:val="nil"/>
              <w:left w:val="single" w:sz="8" w:space="0" w:color="auto"/>
              <w:bottom w:val="single" w:sz="4" w:space="0" w:color="auto"/>
              <w:right w:val="single" w:sz="8" w:space="0" w:color="auto"/>
            </w:tcBorders>
            <w:shd w:val="clear" w:color="auto" w:fill="auto"/>
            <w:vAlign w:val="center"/>
            <w:hideMark/>
          </w:tcPr>
          <w:p w14:paraId="7CDD4BBA" w14:textId="77777777" w:rsidR="008C1F7A" w:rsidRPr="00301868" w:rsidRDefault="008C1F7A" w:rsidP="008C1F7A">
            <w:pPr>
              <w:spacing w:before="80" w:after="80" w:line="240" w:lineRule="auto"/>
              <w:ind w:left="60" w:firstLine="0"/>
              <w:jc w:val="left"/>
              <w:rPr>
                <w:rFonts w:eastAsia="Calibri"/>
                <w:i/>
                <w:iCs/>
                <w:lang w:val="en-US"/>
              </w:rPr>
            </w:pPr>
            <w:r w:rsidRPr="00301868">
              <w:rPr>
                <w:rFonts w:eastAsia="Calibri"/>
                <w:i/>
                <w:iCs/>
                <w:lang w:val="en-US"/>
              </w:rPr>
              <w:t xml:space="preserve"> Lương bình quân (đồng)</w:t>
            </w:r>
          </w:p>
        </w:tc>
        <w:tc>
          <w:tcPr>
            <w:tcW w:w="2510" w:type="dxa"/>
            <w:tcBorders>
              <w:top w:val="nil"/>
              <w:left w:val="nil"/>
              <w:bottom w:val="single" w:sz="4" w:space="0" w:color="auto"/>
              <w:right w:val="nil"/>
            </w:tcBorders>
            <w:shd w:val="clear" w:color="auto" w:fill="auto"/>
            <w:noWrap/>
            <w:vAlign w:val="center"/>
            <w:hideMark/>
          </w:tcPr>
          <w:p w14:paraId="50AF0718" w14:textId="77777777" w:rsidR="008C1F7A" w:rsidRPr="00301868" w:rsidRDefault="008C1F7A" w:rsidP="008C1F7A">
            <w:pPr>
              <w:spacing w:before="80" w:after="80" w:line="240" w:lineRule="auto"/>
              <w:ind w:right="180" w:firstLine="0"/>
              <w:jc w:val="right"/>
              <w:rPr>
                <w:rFonts w:eastAsia="Calibri"/>
                <w:i/>
                <w:iCs/>
                <w:lang w:val="en-US"/>
              </w:rPr>
            </w:pPr>
            <w:r w:rsidRPr="00301868">
              <w:rPr>
                <w:rFonts w:eastAsia="Calibri"/>
                <w:i/>
                <w:iCs/>
                <w:lang w:val="en-US"/>
              </w:rPr>
              <w:t>4,298,809</w:t>
            </w:r>
          </w:p>
        </w:tc>
        <w:tc>
          <w:tcPr>
            <w:tcW w:w="2520" w:type="dxa"/>
            <w:tcBorders>
              <w:top w:val="nil"/>
              <w:left w:val="single" w:sz="8" w:space="0" w:color="auto"/>
              <w:bottom w:val="single" w:sz="4" w:space="0" w:color="auto"/>
              <w:right w:val="single" w:sz="8" w:space="0" w:color="auto"/>
            </w:tcBorders>
            <w:shd w:val="clear" w:color="auto" w:fill="auto"/>
            <w:noWrap/>
            <w:vAlign w:val="center"/>
            <w:hideMark/>
          </w:tcPr>
          <w:p w14:paraId="65B00C8B" w14:textId="77777777" w:rsidR="008C1F7A" w:rsidRPr="00301868" w:rsidRDefault="008C1F7A" w:rsidP="008C1F7A">
            <w:pPr>
              <w:spacing w:before="80" w:after="80" w:line="240" w:lineRule="auto"/>
              <w:ind w:right="180" w:firstLine="0"/>
              <w:jc w:val="right"/>
              <w:rPr>
                <w:rFonts w:eastAsia="Calibri"/>
                <w:i/>
                <w:iCs/>
                <w:lang w:val="en-US"/>
              </w:rPr>
            </w:pPr>
            <w:r w:rsidRPr="00301868">
              <w:rPr>
                <w:rFonts w:eastAsia="Calibri"/>
                <w:i/>
                <w:iCs/>
                <w:lang w:val="en-US"/>
              </w:rPr>
              <w:t>2,087,444</w:t>
            </w:r>
          </w:p>
        </w:tc>
      </w:tr>
      <w:tr w:rsidR="008C1F7A" w:rsidRPr="00301868" w14:paraId="6F881A1A" w14:textId="77777777" w:rsidTr="00CB18DF">
        <w:trPr>
          <w:trHeight w:val="405"/>
        </w:trPr>
        <w:tc>
          <w:tcPr>
            <w:tcW w:w="0" w:type="auto"/>
            <w:vMerge/>
            <w:tcBorders>
              <w:top w:val="nil"/>
              <w:left w:val="single" w:sz="8" w:space="0" w:color="auto"/>
              <w:bottom w:val="single" w:sz="8" w:space="0" w:color="000000"/>
              <w:right w:val="nil"/>
            </w:tcBorders>
            <w:vAlign w:val="center"/>
            <w:hideMark/>
          </w:tcPr>
          <w:p w14:paraId="3AE8EF49" w14:textId="77777777" w:rsidR="008C1F7A" w:rsidRPr="00301868" w:rsidRDefault="008C1F7A" w:rsidP="008C1F7A">
            <w:pPr>
              <w:spacing w:before="80" w:after="80" w:line="240" w:lineRule="auto"/>
              <w:ind w:firstLine="0"/>
              <w:jc w:val="center"/>
              <w:rPr>
                <w:rFonts w:eastAsia="Calibri"/>
                <w:b/>
                <w:bCs/>
                <w:color w:val="000000"/>
                <w:lang w:val="en-US"/>
              </w:rPr>
            </w:pPr>
          </w:p>
        </w:tc>
        <w:tc>
          <w:tcPr>
            <w:tcW w:w="3220" w:type="dxa"/>
            <w:tcBorders>
              <w:top w:val="nil"/>
              <w:left w:val="single" w:sz="8" w:space="0" w:color="auto"/>
              <w:bottom w:val="single" w:sz="8" w:space="0" w:color="auto"/>
              <w:right w:val="single" w:sz="8" w:space="0" w:color="auto"/>
            </w:tcBorders>
            <w:shd w:val="clear" w:color="auto" w:fill="auto"/>
            <w:vAlign w:val="center"/>
            <w:hideMark/>
          </w:tcPr>
          <w:p w14:paraId="15308FF3" w14:textId="77777777" w:rsidR="008C1F7A" w:rsidRPr="00301868" w:rsidRDefault="008C1F7A" w:rsidP="008C1F7A">
            <w:pPr>
              <w:spacing w:before="80" w:after="80" w:line="240" w:lineRule="auto"/>
              <w:ind w:left="60" w:firstLine="0"/>
              <w:jc w:val="left"/>
              <w:rPr>
                <w:rFonts w:eastAsia="Calibri"/>
                <w:b/>
                <w:bCs/>
                <w:lang w:val="en-US"/>
              </w:rPr>
            </w:pPr>
            <w:r w:rsidRPr="00301868">
              <w:rPr>
                <w:rFonts w:eastAsia="Calibri"/>
                <w:b/>
                <w:bCs/>
                <w:lang w:val="en-US"/>
              </w:rPr>
              <w:t xml:space="preserve"> Số thu </w:t>
            </w:r>
            <w:r w:rsidRPr="00301868">
              <w:rPr>
                <w:rFonts w:eastAsia="Calibri"/>
                <w:b/>
                <w:bCs/>
                <w:i/>
                <w:iCs/>
                <w:lang w:val="en-US"/>
              </w:rPr>
              <w:t>(triệu đồng)</w:t>
            </w:r>
          </w:p>
        </w:tc>
        <w:tc>
          <w:tcPr>
            <w:tcW w:w="2510" w:type="dxa"/>
            <w:tcBorders>
              <w:top w:val="nil"/>
              <w:left w:val="nil"/>
              <w:bottom w:val="single" w:sz="8" w:space="0" w:color="auto"/>
              <w:right w:val="nil"/>
            </w:tcBorders>
            <w:shd w:val="clear" w:color="auto" w:fill="auto"/>
            <w:noWrap/>
            <w:vAlign w:val="center"/>
            <w:hideMark/>
          </w:tcPr>
          <w:p w14:paraId="030F1B3F" w14:textId="77777777" w:rsidR="008C1F7A" w:rsidRPr="00301868" w:rsidRDefault="008C1F7A" w:rsidP="008C1F7A">
            <w:pPr>
              <w:spacing w:before="80" w:after="80" w:line="240" w:lineRule="auto"/>
              <w:ind w:right="180" w:firstLine="0"/>
              <w:jc w:val="right"/>
              <w:rPr>
                <w:rFonts w:eastAsia="Calibri"/>
                <w:b/>
                <w:bCs/>
                <w:lang w:val="en-US"/>
              </w:rPr>
            </w:pPr>
            <w:r w:rsidRPr="00301868">
              <w:rPr>
                <w:rFonts w:eastAsia="Calibri"/>
                <w:b/>
                <w:bCs/>
                <w:lang w:val="en-US"/>
              </w:rPr>
              <w:t>174,503,423</w:t>
            </w:r>
          </w:p>
        </w:tc>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7594FBAD" w14:textId="77777777" w:rsidR="008C1F7A" w:rsidRPr="00301868" w:rsidRDefault="008C1F7A" w:rsidP="008C1F7A">
            <w:pPr>
              <w:spacing w:before="80" w:after="80" w:line="240" w:lineRule="auto"/>
              <w:ind w:right="180" w:firstLine="0"/>
              <w:jc w:val="right"/>
              <w:rPr>
                <w:rFonts w:eastAsia="Calibri"/>
                <w:b/>
                <w:bCs/>
                <w:lang w:val="en-US"/>
              </w:rPr>
            </w:pPr>
            <w:r w:rsidRPr="00301868">
              <w:rPr>
                <w:rFonts w:eastAsia="Calibri"/>
                <w:b/>
                <w:bCs/>
                <w:lang w:val="en-US"/>
              </w:rPr>
              <w:t>1,107,956</w:t>
            </w:r>
          </w:p>
        </w:tc>
      </w:tr>
      <w:tr w:rsidR="008C1F7A" w:rsidRPr="00301868" w14:paraId="0C994409" w14:textId="77777777" w:rsidTr="00CB18DF">
        <w:trPr>
          <w:trHeight w:val="375"/>
        </w:trPr>
        <w:tc>
          <w:tcPr>
            <w:tcW w:w="0" w:type="auto"/>
            <w:vMerge w:val="restart"/>
            <w:tcBorders>
              <w:top w:val="nil"/>
              <w:left w:val="single" w:sz="8" w:space="0" w:color="auto"/>
              <w:bottom w:val="nil"/>
              <w:right w:val="nil"/>
            </w:tcBorders>
            <w:shd w:val="clear" w:color="auto" w:fill="auto"/>
            <w:noWrap/>
            <w:vAlign w:val="center"/>
            <w:hideMark/>
          </w:tcPr>
          <w:p w14:paraId="535E4AC2" w14:textId="77777777" w:rsidR="008C1F7A" w:rsidRPr="00301868" w:rsidRDefault="008C1F7A" w:rsidP="008C1F7A">
            <w:pPr>
              <w:spacing w:before="80" w:after="80" w:line="240" w:lineRule="auto"/>
              <w:ind w:firstLine="0"/>
              <w:jc w:val="center"/>
              <w:rPr>
                <w:rFonts w:eastAsia="Calibri"/>
                <w:b/>
                <w:bCs/>
                <w:color w:val="000000"/>
                <w:lang w:val="en-US"/>
              </w:rPr>
            </w:pPr>
            <w:r w:rsidRPr="00301868">
              <w:rPr>
                <w:rFonts w:eastAsia="Calibri"/>
                <w:b/>
                <w:bCs/>
                <w:color w:val="000000"/>
                <w:lang w:val="en-US"/>
              </w:rPr>
              <w:t>2017</w:t>
            </w:r>
          </w:p>
        </w:tc>
        <w:tc>
          <w:tcPr>
            <w:tcW w:w="3220" w:type="dxa"/>
            <w:tcBorders>
              <w:top w:val="nil"/>
              <w:left w:val="single" w:sz="8" w:space="0" w:color="auto"/>
              <w:bottom w:val="single" w:sz="4" w:space="0" w:color="auto"/>
              <w:right w:val="single" w:sz="8" w:space="0" w:color="auto"/>
            </w:tcBorders>
            <w:shd w:val="clear" w:color="auto" w:fill="auto"/>
            <w:vAlign w:val="center"/>
            <w:hideMark/>
          </w:tcPr>
          <w:p w14:paraId="6366E34B" w14:textId="77777777" w:rsidR="008C1F7A" w:rsidRPr="00301868" w:rsidRDefault="008C1F7A" w:rsidP="008C1F7A">
            <w:pPr>
              <w:spacing w:before="80" w:after="80" w:line="240" w:lineRule="auto"/>
              <w:ind w:left="60" w:firstLine="0"/>
              <w:jc w:val="left"/>
              <w:rPr>
                <w:rFonts w:eastAsia="Calibri"/>
                <w:lang w:val="en-US"/>
              </w:rPr>
            </w:pPr>
            <w:r w:rsidRPr="00301868">
              <w:rPr>
                <w:rFonts w:eastAsia="Calibri"/>
                <w:lang w:val="en-US"/>
              </w:rPr>
              <w:t xml:space="preserve"> Số người tham gia</w:t>
            </w:r>
          </w:p>
        </w:tc>
        <w:tc>
          <w:tcPr>
            <w:tcW w:w="2510" w:type="dxa"/>
            <w:tcBorders>
              <w:top w:val="nil"/>
              <w:left w:val="nil"/>
              <w:bottom w:val="single" w:sz="4" w:space="0" w:color="auto"/>
              <w:right w:val="nil"/>
            </w:tcBorders>
            <w:shd w:val="clear" w:color="auto" w:fill="auto"/>
            <w:noWrap/>
            <w:vAlign w:val="center"/>
            <w:hideMark/>
          </w:tcPr>
          <w:p w14:paraId="7D2AA6E2" w14:textId="77777777" w:rsidR="008C1F7A" w:rsidRPr="00301868" w:rsidRDefault="008C1F7A" w:rsidP="008C1F7A">
            <w:pPr>
              <w:spacing w:before="80" w:after="80" w:line="240" w:lineRule="auto"/>
              <w:ind w:right="180" w:firstLine="0"/>
              <w:jc w:val="right"/>
              <w:rPr>
                <w:rFonts w:eastAsia="Calibri"/>
                <w:lang w:val="en-US"/>
              </w:rPr>
            </w:pPr>
            <w:r w:rsidRPr="00301868">
              <w:rPr>
                <w:rFonts w:eastAsia="Calibri"/>
                <w:lang w:val="en-US"/>
              </w:rPr>
              <w:t>13,596,146</w:t>
            </w:r>
          </w:p>
        </w:tc>
        <w:tc>
          <w:tcPr>
            <w:tcW w:w="2520" w:type="dxa"/>
            <w:tcBorders>
              <w:top w:val="nil"/>
              <w:left w:val="single" w:sz="8" w:space="0" w:color="auto"/>
              <w:bottom w:val="single" w:sz="4" w:space="0" w:color="auto"/>
              <w:right w:val="single" w:sz="8" w:space="0" w:color="auto"/>
            </w:tcBorders>
            <w:shd w:val="clear" w:color="auto" w:fill="auto"/>
            <w:noWrap/>
            <w:vAlign w:val="center"/>
            <w:hideMark/>
          </w:tcPr>
          <w:p w14:paraId="685128DB" w14:textId="77777777" w:rsidR="008C1F7A" w:rsidRPr="00301868" w:rsidRDefault="008C1F7A" w:rsidP="008C1F7A">
            <w:pPr>
              <w:spacing w:before="80" w:after="80" w:line="240" w:lineRule="auto"/>
              <w:ind w:right="180" w:firstLine="0"/>
              <w:jc w:val="right"/>
              <w:rPr>
                <w:rFonts w:eastAsia="Calibri"/>
                <w:lang w:val="en-US"/>
              </w:rPr>
            </w:pPr>
            <w:r w:rsidRPr="00301868">
              <w:rPr>
                <w:rFonts w:eastAsia="Calibri"/>
                <w:lang w:val="en-US"/>
              </w:rPr>
              <w:t>224,243</w:t>
            </w:r>
          </w:p>
        </w:tc>
      </w:tr>
      <w:tr w:rsidR="008C1F7A" w:rsidRPr="00301868" w14:paraId="1537E18F" w14:textId="77777777" w:rsidTr="00CB18DF">
        <w:trPr>
          <w:trHeight w:val="375"/>
        </w:trPr>
        <w:tc>
          <w:tcPr>
            <w:tcW w:w="0" w:type="auto"/>
            <w:vMerge/>
            <w:tcBorders>
              <w:top w:val="nil"/>
              <w:left w:val="single" w:sz="8" w:space="0" w:color="auto"/>
              <w:bottom w:val="nil"/>
              <w:right w:val="nil"/>
            </w:tcBorders>
            <w:vAlign w:val="center"/>
            <w:hideMark/>
          </w:tcPr>
          <w:p w14:paraId="6ED3C503" w14:textId="77777777" w:rsidR="008C1F7A" w:rsidRPr="00301868" w:rsidRDefault="008C1F7A" w:rsidP="008C1F7A">
            <w:pPr>
              <w:spacing w:before="80" w:after="80" w:line="240" w:lineRule="auto"/>
              <w:ind w:firstLine="0"/>
              <w:jc w:val="center"/>
              <w:rPr>
                <w:rFonts w:eastAsia="Calibri"/>
                <w:b/>
                <w:bCs/>
                <w:color w:val="000000"/>
                <w:lang w:val="en-US"/>
              </w:rPr>
            </w:pPr>
          </w:p>
        </w:tc>
        <w:tc>
          <w:tcPr>
            <w:tcW w:w="3220" w:type="dxa"/>
            <w:tcBorders>
              <w:top w:val="nil"/>
              <w:left w:val="single" w:sz="8" w:space="0" w:color="auto"/>
              <w:bottom w:val="single" w:sz="4" w:space="0" w:color="auto"/>
              <w:right w:val="single" w:sz="8" w:space="0" w:color="auto"/>
            </w:tcBorders>
            <w:shd w:val="clear" w:color="auto" w:fill="auto"/>
            <w:vAlign w:val="center"/>
            <w:hideMark/>
          </w:tcPr>
          <w:p w14:paraId="4D3A09B0" w14:textId="77777777" w:rsidR="008C1F7A" w:rsidRPr="00301868" w:rsidRDefault="008C1F7A" w:rsidP="008C1F7A">
            <w:pPr>
              <w:spacing w:before="80" w:after="80" w:line="240" w:lineRule="auto"/>
              <w:ind w:left="60" w:firstLine="0"/>
              <w:jc w:val="left"/>
              <w:rPr>
                <w:rFonts w:eastAsia="Calibri"/>
                <w:i/>
                <w:iCs/>
                <w:lang w:val="en-US"/>
              </w:rPr>
            </w:pPr>
            <w:r w:rsidRPr="00301868">
              <w:rPr>
                <w:rFonts w:eastAsia="Calibri"/>
                <w:i/>
                <w:iCs/>
                <w:lang w:val="en-US"/>
              </w:rPr>
              <w:t xml:space="preserve"> Lương bình quân (đồng)</w:t>
            </w:r>
          </w:p>
        </w:tc>
        <w:tc>
          <w:tcPr>
            <w:tcW w:w="2510" w:type="dxa"/>
            <w:tcBorders>
              <w:top w:val="nil"/>
              <w:left w:val="nil"/>
              <w:bottom w:val="single" w:sz="4" w:space="0" w:color="auto"/>
              <w:right w:val="nil"/>
            </w:tcBorders>
            <w:shd w:val="clear" w:color="auto" w:fill="auto"/>
            <w:noWrap/>
            <w:vAlign w:val="center"/>
            <w:hideMark/>
          </w:tcPr>
          <w:p w14:paraId="469279AE" w14:textId="77777777" w:rsidR="008C1F7A" w:rsidRPr="00301868" w:rsidRDefault="008C1F7A" w:rsidP="008C1F7A">
            <w:pPr>
              <w:spacing w:before="80" w:after="80" w:line="240" w:lineRule="auto"/>
              <w:ind w:right="180" w:firstLine="0"/>
              <w:jc w:val="right"/>
              <w:rPr>
                <w:rFonts w:eastAsia="Calibri"/>
                <w:i/>
                <w:iCs/>
                <w:lang w:val="en-US"/>
              </w:rPr>
            </w:pPr>
            <w:r w:rsidRPr="00301868">
              <w:rPr>
                <w:rFonts w:eastAsia="Calibri"/>
                <w:i/>
                <w:iCs/>
                <w:lang w:val="en-US"/>
              </w:rPr>
              <w:t>4,595,788</w:t>
            </w:r>
          </w:p>
        </w:tc>
        <w:tc>
          <w:tcPr>
            <w:tcW w:w="2520" w:type="dxa"/>
            <w:tcBorders>
              <w:top w:val="nil"/>
              <w:left w:val="single" w:sz="8" w:space="0" w:color="auto"/>
              <w:bottom w:val="single" w:sz="4" w:space="0" w:color="auto"/>
              <w:right w:val="single" w:sz="8" w:space="0" w:color="auto"/>
            </w:tcBorders>
            <w:shd w:val="clear" w:color="auto" w:fill="auto"/>
            <w:noWrap/>
            <w:vAlign w:val="center"/>
            <w:hideMark/>
          </w:tcPr>
          <w:p w14:paraId="7C52F2C1" w14:textId="77777777" w:rsidR="008C1F7A" w:rsidRPr="00301868" w:rsidRDefault="008C1F7A" w:rsidP="008C1F7A">
            <w:pPr>
              <w:spacing w:before="80" w:after="80" w:line="240" w:lineRule="auto"/>
              <w:ind w:right="180" w:firstLine="0"/>
              <w:jc w:val="right"/>
              <w:rPr>
                <w:rFonts w:eastAsia="Calibri"/>
                <w:i/>
                <w:iCs/>
                <w:lang w:val="en-US"/>
              </w:rPr>
            </w:pPr>
            <w:r w:rsidRPr="00301868">
              <w:rPr>
                <w:rFonts w:eastAsia="Calibri"/>
                <w:i/>
                <w:iCs/>
                <w:lang w:val="en-US"/>
              </w:rPr>
              <w:t>2,009,684</w:t>
            </w:r>
          </w:p>
        </w:tc>
      </w:tr>
      <w:tr w:rsidR="008C1F7A" w:rsidRPr="00301868" w14:paraId="320AE554" w14:textId="77777777" w:rsidTr="00CB18DF">
        <w:trPr>
          <w:trHeight w:val="405"/>
        </w:trPr>
        <w:tc>
          <w:tcPr>
            <w:tcW w:w="0" w:type="auto"/>
            <w:vMerge/>
            <w:tcBorders>
              <w:top w:val="nil"/>
              <w:left w:val="single" w:sz="8" w:space="0" w:color="auto"/>
              <w:bottom w:val="nil"/>
              <w:right w:val="nil"/>
            </w:tcBorders>
            <w:vAlign w:val="center"/>
            <w:hideMark/>
          </w:tcPr>
          <w:p w14:paraId="1BD4DFC7" w14:textId="77777777" w:rsidR="008C1F7A" w:rsidRPr="00301868" w:rsidRDefault="008C1F7A" w:rsidP="008C1F7A">
            <w:pPr>
              <w:spacing w:before="80" w:after="80" w:line="240" w:lineRule="auto"/>
              <w:ind w:firstLine="0"/>
              <w:jc w:val="center"/>
              <w:rPr>
                <w:rFonts w:eastAsia="Calibri"/>
                <w:b/>
                <w:bCs/>
                <w:color w:val="000000"/>
                <w:lang w:val="en-US"/>
              </w:rPr>
            </w:pPr>
          </w:p>
        </w:tc>
        <w:tc>
          <w:tcPr>
            <w:tcW w:w="3220" w:type="dxa"/>
            <w:tcBorders>
              <w:top w:val="nil"/>
              <w:left w:val="single" w:sz="8" w:space="0" w:color="auto"/>
              <w:bottom w:val="single" w:sz="8" w:space="0" w:color="auto"/>
              <w:right w:val="single" w:sz="8" w:space="0" w:color="auto"/>
            </w:tcBorders>
            <w:shd w:val="clear" w:color="auto" w:fill="auto"/>
            <w:vAlign w:val="center"/>
            <w:hideMark/>
          </w:tcPr>
          <w:p w14:paraId="50998AF1" w14:textId="77777777" w:rsidR="008C1F7A" w:rsidRPr="00301868" w:rsidRDefault="008C1F7A" w:rsidP="008C1F7A">
            <w:pPr>
              <w:spacing w:before="80" w:after="80" w:line="240" w:lineRule="auto"/>
              <w:ind w:left="60" w:firstLine="0"/>
              <w:jc w:val="left"/>
              <w:rPr>
                <w:rFonts w:eastAsia="Calibri"/>
                <w:b/>
                <w:bCs/>
                <w:lang w:val="en-US"/>
              </w:rPr>
            </w:pPr>
            <w:r w:rsidRPr="00301868">
              <w:rPr>
                <w:rFonts w:eastAsia="Calibri"/>
                <w:b/>
                <w:bCs/>
                <w:lang w:val="en-US"/>
              </w:rPr>
              <w:t xml:space="preserve"> Số thu </w:t>
            </w:r>
            <w:r w:rsidRPr="00301868">
              <w:rPr>
                <w:rFonts w:eastAsia="Calibri"/>
                <w:b/>
                <w:bCs/>
                <w:i/>
                <w:iCs/>
                <w:lang w:val="en-US"/>
              </w:rPr>
              <w:t>(triệu đồng)</w:t>
            </w:r>
          </w:p>
        </w:tc>
        <w:tc>
          <w:tcPr>
            <w:tcW w:w="2510" w:type="dxa"/>
            <w:tcBorders>
              <w:top w:val="nil"/>
              <w:left w:val="nil"/>
              <w:bottom w:val="single" w:sz="8" w:space="0" w:color="auto"/>
              <w:right w:val="nil"/>
            </w:tcBorders>
            <w:shd w:val="clear" w:color="auto" w:fill="auto"/>
            <w:noWrap/>
            <w:vAlign w:val="center"/>
            <w:hideMark/>
          </w:tcPr>
          <w:p w14:paraId="2D741B7D" w14:textId="77777777" w:rsidR="008C1F7A" w:rsidRPr="00301868" w:rsidRDefault="008C1F7A" w:rsidP="008C1F7A">
            <w:pPr>
              <w:spacing w:before="80" w:after="80" w:line="240" w:lineRule="auto"/>
              <w:ind w:right="180" w:firstLine="0"/>
              <w:jc w:val="right"/>
              <w:rPr>
                <w:rFonts w:eastAsia="Calibri"/>
                <w:b/>
                <w:bCs/>
                <w:lang w:val="en-US"/>
              </w:rPr>
            </w:pPr>
            <w:r w:rsidRPr="00301868">
              <w:rPr>
                <w:rFonts w:eastAsia="Calibri"/>
                <w:b/>
                <w:bCs/>
                <w:lang w:val="en-US"/>
              </w:rPr>
              <w:t>195,198,704</w:t>
            </w:r>
          </w:p>
        </w:tc>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5A4F5F61" w14:textId="77777777" w:rsidR="008C1F7A" w:rsidRPr="00301868" w:rsidRDefault="008C1F7A" w:rsidP="008C1F7A">
            <w:pPr>
              <w:spacing w:before="80" w:after="80" w:line="240" w:lineRule="auto"/>
              <w:ind w:right="180" w:firstLine="0"/>
              <w:jc w:val="right"/>
              <w:rPr>
                <w:rFonts w:eastAsia="Calibri"/>
                <w:b/>
                <w:bCs/>
                <w:lang w:val="en-US"/>
              </w:rPr>
            </w:pPr>
            <w:r w:rsidRPr="00301868">
              <w:rPr>
                <w:rFonts w:eastAsia="Calibri"/>
                <w:b/>
                <w:bCs/>
                <w:lang w:val="en-US"/>
              </w:rPr>
              <w:t>1,194,389</w:t>
            </w:r>
          </w:p>
        </w:tc>
      </w:tr>
      <w:tr w:rsidR="008C1F7A" w:rsidRPr="00301868" w14:paraId="54030874" w14:textId="77777777" w:rsidTr="00CB18DF">
        <w:trPr>
          <w:trHeight w:val="375"/>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14:paraId="670CA03B" w14:textId="77777777" w:rsidR="008C1F7A" w:rsidRPr="00301868" w:rsidRDefault="008C1F7A" w:rsidP="008C1F7A">
            <w:pPr>
              <w:spacing w:before="80" w:after="80" w:line="240" w:lineRule="auto"/>
              <w:ind w:firstLine="0"/>
              <w:jc w:val="center"/>
              <w:rPr>
                <w:rFonts w:eastAsia="Calibri"/>
                <w:b/>
                <w:bCs/>
                <w:color w:val="000000"/>
                <w:lang w:val="en-US"/>
              </w:rPr>
            </w:pPr>
            <w:r w:rsidRPr="00301868">
              <w:rPr>
                <w:rFonts w:eastAsia="Calibri"/>
                <w:b/>
                <w:bCs/>
                <w:color w:val="000000"/>
                <w:lang w:val="en-US"/>
              </w:rPr>
              <w:t>2018</w:t>
            </w:r>
          </w:p>
        </w:tc>
        <w:tc>
          <w:tcPr>
            <w:tcW w:w="3220" w:type="dxa"/>
            <w:tcBorders>
              <w:top w:val="nil"/>
              <w:left w:val="single" w:sz="8" w:space="0" w:color="auto"/>
              <w:bottom w:val="single" w:sz="4" w:space="0" w:color="auto"/>
              <w:right w:val="single" w:sz="8" w:space="0" w:color="auto"/>
            </w:tcBorders>
            <w:shd w:val="clear" w:color="auto" w:fill="auto"/>
            <w:vAlign w:val="center"/>
            <w:hideMark/>
          </w:tcPr>
          <w:p w14:paraId="6A6BD3AB" w14:textId="77777777" w:rsidR="008C1F7A" w:rsidRPr="00301868" w:rsidRDefault="008C1F7A" w:rsidP="008C1F7A">
            <w:pPr>
              <w:spacing w:before="80" w:after="80" w:line="240" w:lineRule="auto"/>
              <w:ind w:left="60" w:firstLine="0"/>
              <w:jc w:val="left"/>
              <w:rPr>
                <w:rFonts w:eastAsia="Calibri"/>
                <w:lang w:val="en-US"/>
              </w:rPr>
            </w:pPr>
            <w:r w:rsidRPr="00301868">
              <w:rPr>
                <w:rFonts w:eastAsia="Calibri"/>
                <w:lang w:val="en-US"/>
              </w:rPr>
              <w:t xml:space="preserve"> Số người tham gia</w:t>
            </w:r>
          </w:p>
        </w:tc>
        <w:tc>
          <w:tcPr>
            <w:tcW w:w="2510" w:type="dxa"/>
            <w:tcBorders>
              <w:top w:val="nil"/>
              <w:left w:val="nil"/>
              <w:bottom w:val="single" w:sz="4" w:space="0" w:color="auto"/>
              <w:right w:val="nil"/>
            </w:tcBorders>
            <w:shd w:val="clear" w:color="auto" w:fill="auto"/>
            <w:noWrap/>
            <w:vAlign w:val="center"/>
            <w:hideMark/>
          </w:tcPr>
          <w:p w14:paraId="45A437F7" w14:textId="77777777" w:rsidR="008C1F7A" w:rsidRPr="00301868" w:rsidRDefault="008C1F7A" w:rsidP="008C1F7A">
            <w:pPr>
              <w:spacing w:before="80" w:after="80" w:line="240" w:lineRule="auto"/>
              <w:ind w:right="180" w:firstLine="0"/>
              <w:jc w:val="right"/>
              <w:rPr>
                <w:rFonts w:eastAsia="Calibri"/>
                <w:lang w:val="en-US"/>
              </w:rPr>
            </w:pPr>
            <w:r w:rsidRPr="00301868">
              <w:rPr>
                <w:rFonts w:eastAsia="Calibri"/>
                <w:lang w:val="en-US"/>
              </w:rPr>
              <w:t>14,455,069</w:t>
            </w:r>
          </w:p>
        </w:tc>
        <w:tc>
          <w:tcPr>
            <w:tcW w:w="2520" w:type="dxa"/>
            <w:tcBorders>
              <w:top w:val="nil"/>
              <w:left w:val="single" w:sz="8" w:space="0" w:color="auto"/>
              <w:bottom w:val="single" w:sz="4" w:space="0" w:color="auto"/>
              <w:right w:val="single" w:sz="8" w:space="0" w:color="auto"/>
            </w:tcBorders>
            <w:shd w:val="clear" w:color="auto" w:fill="auto"/>
            <w:noWrap/>
            <w:vAlign w:val="center"/>
            <w:hideMark/>
          </w:tcPr>
          <w:p w14:paraId="4803C756" w14:textId="77777777" w:rsidR="008C1F7A" w:rsidRPr="00301868" w:rsidRDefault="008C1F7A" w:rsidP="008C1F7A">
            <w:pPr>
              <w:spacing w:before="80" w:after="80" w:line="240" w:lineRule="auto"/>
              <w:ind w:right="180" w:firstLine="0"/>
              <w:jc w:val="right"/>
              <w:rPr>
                <w:rFonts w:eastAsia="Calibri"/>
                <w:lang w:val="en-US"/>
              </w:rPr>
            </w:pPr>
            <w:r w:rsidRPr="00301868">
              <w:rPr>
                <w:rFonts w:eastAsia="Calibri"/>
                <w:lang w:val="en-US"/>
              </w:rPr>
              <w:t>277,190</w:t>
            </w:r>
          </w:p>
        </w:tc>
      </w:tr>
      <w:tr w:rsidR="008C1F7A" w:rsidRPr="00301868" w14:paraId="1B5F2AFB" w14:textId="77777777" w:rsidTr="00CB18DF">
        <w:trPr>
          <w:trHeight w:val="375"/>
        </w:trPr>
        <w:tc>
          <w:tcPr>
            <w:tcW w:w="0" w:type="auto"/>
            <w:vMerge/>
            <w:tcBorders>
              <w:top w:val="single" w:sz="8" w:space="0" w:color="auto"/>
              <w:left w:val="single" w:sz="8" w:space="0" w:color="auto"/>
              <w:bottom w:val="single" w:sz="8" w:space="0" w:color="000000"/>
              <w:right w:val="nil"/>
            </w:tcBorders>
            <w:vAlign w:val="center"/>
            <w:hideMark/>
          </w:tcPr>
          <w:p w14:paraId="13683EA8" w14:textId="77777777" w:rsidR="008C1F7A" w:rsidRPr="00301868" w:rsidRDefault="008C1F7A" w:rsidP="008C1F7A">
            <w:pPr>
              <w:spacing w:before="80" w:after="80" w:line="240" w:lineRule="auto"/>
              <w:ind w:firstLine="0"/>
              <w:jc w:val="center"/>
              <w:rPr>
                <w:rFonts w:eastAsia="Calibri"/>
                <w:b/>
                <w:bCs/>
                <w:color w:val="000000"/>
                <w:lang w:val="en-US"/>
              </w:rPr>
            </w:pPr>
          </w:p>
        </w:tc>
        <w:tc>
          <w:tcPr>
            <w:tcW w:w="3220" w:type="dxa"/>
            <w:tcBorders>
              <w:top w:val="nil"/>
              <w:left w:val="single" w:sz="8" w:space="0" w:color="auto"/>
              <w:bottom w:val="single" w:sz="4" w:space="0" w:color="auto"/>
              <w:right w:val="single" w:sz="8" w:space="0" w:color="auto"/>
            </w:tcBorders>
            <w:shd w:val="clear" w:color="auto" w:fill="auto"/>
            <w:vAlign w:val="center"/>
            <w:hideMark/>
          </w:tcPr>
          <w:p w14:paraId="213877D1" w14:textId="77777777" w:rsidR="008C1F7A" w:rsidRPr="00301868" w:rsidRDefault="008C1F7A" w:rsidP="008C1F7A">
            <w:pPr>
              <w:spacing w:before="80" w:after="80" w:line="240" w:lineRule="auto"/>
              <w:ind w:left="60" w:firstLine="0"/>
              <w:jc w:val="left"/>
              <w:rPr>
                <w:rFonts w:eastAsia="Calibri"/>
                <w:i/>
                <w:iCs/>
                <w:lang w:val="en-US"/>
              </w:rPr>
            </w:pPr>
            <w:r w:rsidRPr="00301868">
              <w:rPr>
                <w:rFonts w:eastAsia="Calibri"/>
                <w:i/>
                <w:iCs/>
                <w:lang w:val="en-US"/>
              </w:rPr>
              <w:t xml:space="preserve"> Lương bình quân (đồng)</w:t>
            </w:r>
          </w:p>
        </w:tc>
        <w:tc>
          <w:tcPr>
            <w:tcW w:w="2510" w:type="dxa"/>
            <w:tcBorders>
              <w:top w:val="nil"/>
              <w:left w:val="nil"/>
              <w:bottom w:val="single" w:sz="4" w:space="0" w:color="auto"/>
              <w:right w:val="nil"/>
            </w:tcBorders>
            <w:shd w:val="clear" w:color="auto" w:fill="auto"/>
            <w:noWrap/>
            <w:vAlign w:val="center"/>
            <w:hideMark/>
          </w:tcPr>
          <w:p w14:paraId="0E595D07" w14:textId="77777777" w:rsidR="008C1F7A" w:rsidRPr="00301868" w:rsidRDefault="008C1F7A" w:rsidP="008C1F7A">
            <w:pPr>
              <w:spacing w:before="80" w:after="80" w:line="240" w:lineRule="auto"/>
              <w:ind w:right="180" w:firstLine="0"/>
              <w:jc w:val="right"/>
              <w:rPr>
                <w:rFonts w:eastAsia="Calibri"/>
                <w:i/>
                <w:iCs/>
                <w:lang w:val="en-US"/>
              </w:rPr>
            </w:pPr>
            <w:r w:rsidRPr="00301868">
              <w:rPr>
                <w:rFonts w:eastAsia="Calibri"/>
                <w:i/>
                <w:iCs/>
                <w:lang w:val="en-US"/>
              </w:rPr>
              <w:t>5,097,535</w:t>
            </w:r>
          </w:p>
        </w:tc>
        <w:tc>
          <w:tcPr>
            <w:tcW w:w="2520" w:type="dxa"/>
            <w:tcBorders>
              <w:top w:val="nil"/>
              <w:left w:val="single" w:sz="8" w:space="0" w:color="auto"/>
              <w:bottom w:val="single" w:sz="4" w:space="0" w:color="auto"/>
              <w:right w:val="single" w:sz="8" w:space="0" w:color="auto"/>
            </w:tcBorders>
            <w:shd w:val="clear" w:color="auto" w:fill="auto"/>
            <w:noWrap/>
            <w:vAlign w:val="center"/>
            <w:hideMark/>
          </w:tcPr>
          <w:p w14:paraId="15528FB1" w14:textId="77777777" w:rsidR="008C1F7A" w:rsidRPr="00301868" w:rsidRDefault="008C1F7A" w:rsidP="008C1F7A">
            <w:pPr>
              <w:spacing w:before="80" w:after="80" w:line="240" w:lineRule="auto"/>
              <w:ind w:right="180" w:firstLine="0"/>
              <w:jc w:val="right"/>
              <w:rPr>
                <w:rFonts w:eastAsia="Calibri"/>
                <w:i/>
                <w:iCs/>
                <w:lang w:val="en-US"/>
              </w:rPr>
            </w:pPr>
            <w:r w:rsidRPr="00301868">
              <w:rPr>
                <w:rFonts w:eastAsia="Calibri"/>
                <w:i/>
                <w:iCs/>
                <w:lang w:val="en-US"/>
              </w:rPr>
              <w:t>1,778,674</w:t>
            </w:r>
          </w:p>
        </w:tc>
      </w:tr>
      <w:tr w:rsidR="008C1F7A" w:rsidRPr="00301868" w14:paraId="4606477B" w14:textId="77777777" w:rsidTr="00CB18DF">
        <w:trPr>
          <w:trHeight w:val="405"/>
        </w:trPr>
        <w:tc>
          <w:tcPr>
            <w:tcW w:w="0" w:type="auto"/>
            <w:vMerge/>
            <w:tcBorders>
              <w:top w:val="single" w:sz="8" w:space="0" w:color="auto"/>
              <w:left w:val="single" w:sz="8" w:space="0" w:color="auto"/>
              <w:bottom w:val="single" w:sz="8" w:space="0" w:color="000000"/>
              <w:right w:val="nil"/>
            </w:tcBorders>
            <w:vAlign w:val="center"/>
            <w:hideMark/>
          </w:tcPr>
          <w:p w14:paraId="2D00A312" w14:textId="77777777" w:rsidR="008C1F7A" w:rsidRPr="00301868" w:rsidRDefault="008C1F7A" w:rsidP="008C1F7A">
            <w:pPr>
              <w:spacing w:before="80" w:after="80" w:line="240" w:lineRule="auto"/>
              <w:ind w:firstLine="0"/>
              <w:jc w:val="center"/>
              <w:rPr>
                <w:rFonts w:eastAsia="Calibri"/>
                <w:b/>
                <w:bCs/>
                <w:color w:val="000000"/>
                <w:lang w:val="en-US"/>
              </w:rPr>
            </w:pPr>
          </w:p>
        </w:tc>
        <w:tc>
          <w:tcPr>
            <w:tcW w:w="3220" w:type="dxa"/>
            <w:tcBorders>
              <w:top w:val="nil"/>
              <w:left w:val="single" w:sz="8" w:space="0" w:color="auto"/>
              <w:bottom w:val="single" w:sz="8" w:space="0" w:color="auto"/>
              <w:right w:val="single" w:sz="8" w:space="0" w:color="auto"/>
            </w:tcBorders>
            <w:shd w:val="clear" w:color="auto" w:fill="auto"/>
            <w:vAlign w:val="center"/>
            <w:hideMark/>
          </w:tcPr>
          <w:p w14:paraId="0C7CB2BF" w14:textId="77777777" w:rsidR="008C1F7A" w:rsidRPr="00301868" w:rsidRDefault="008C1F7A" w:rsidP="008C1F7A">
            <w:pPr>
              <w:spacing w:before="80" w:after="80" w:line="240" w:lineRule="auto"/>
              <w:ind w:left="60" w:firstLine="0"/>
              <w:jc w:val="left"/>
              <w:rPr>
                <w:rFonts w:eastAsia="Calibri"/>
                <w:b/>
                <w:bCs/>
                <w:lang w:val="en-US"/>
              </w:rPr>
            </w:pPr>
            <w:r w:rsidRPr="00301868">
              <w:rPr>
                <w:rFonts w:eastAsia="Calibri"/>
                <w:b/>
                <w:bCs/>
                <w:lang w:val="en-US"/>
              </w:rPr>
              <w:t xml:space="preserve"> Số thu </w:t>
            </w:r>
            <w:r w:rsidRPr="00301868">
              <w:rPr>
                <w:rFonts w:eastAsia="Calibri"/>
                <w:b/>
                <w:bCs/>
                <w:i/>
                <w:iCs/>
                <w:lang w:val="en-US"/>
              </w:rPr>
              <w:t>(triệu đồng)</w:t>
            </w:r>
          </w:p>
        </w:tc>
        <w:tc>
          <w:tcPr>
            <w:tcW w:w="2510" w:type="dxa"/>
            <w:tcBorders>
              <w:top w:val="nil"/>
              <w:left w:val="nil"/>
              <w:bottom w:val="single" w:sz="8" w:space="0" w:color="auto"/>
              <w:right w:val="nil"/>
            </w:tcBorders>
            <w:shd w:val="clear" w:color="auto" w:fill="auto"/>
            <w:noWrap/>
            <w:vAlign w:val="center"/>
            <w:hideMark/>
          </w:tcPr>
          <w:p w14:paraId="26E20E9F" w14:textId="77777777" w:rsidR="008C1F7A" w:rsidRPr="00301868" w:rsidRDefault="008C1F7A" w:rsidP="008C1F7A">
            <w:pPr>
              <w:spacing w:before="80" w:after="80" w:line="240" w:lineRule="auto"/>
              <w:ind w:right="180" w:firstLine="0"/>
              <w:jc w:val="right"/>
              <w:rPr>
                <w:rFonts w:eastAsia="Calibri"/>
                <w:b/>
                <w:bCs/>
                <w:lang w:val="en-US"/>
              </w:rPr>
            </w:pPr>
            <w:r w:rsidRPr="00301868">
              <w:rPr>
                <w:rFonts w:eastAsia="Calibri"/>
                <w:b/>
                <w:bCs/>
                <w:lang w:val="en-US"/>
              </w:rPr>
              <w:t xml:space="preserve">          221,796,093 </w:t>
            </w:r>
          </w:p>
        </w:tc>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4957BD4E" w14:textId="77777777" w:rsidR="008C1F7A" w:rsidRPr="00301868" w:rsidRDefault="008C1F7A" w:rsidP="008C1F7A">
            <w:pPr>
              <w:spacing w:before="80" w:after="80" w:line="240" w:lineRule="auto"/>
              <w:ind w:right="180" w:firstLine="0"/>
              <w:jc w:val="right"/>
              <w:rPr>
                <w:rFonts w:eastAsia="Calibri"/>
                <w:b/>
                <w:bCs/>
                <w:lang w:val="en-US"/>
              </w:rPr>
            </w:pPr>
            <w:r w:rsidRPr="00301868">
              <w:rPr>
                <w:rFonts w:eastAsia="Calibri"/>
                <w:b/>
                <w:bCs/>
                <w:lang w:val="en-US"/>
              </w:rPr>
              <w:t xml:space="preserve">              1,287,561 </w:t>
            </w:r>
          </w:p>
        </w:tc>
      </w:tr>
      <w:tr w:rsidR="008C1F7A" w:rsidRPr="00301868" w14:paraId="18853550" w14:textId="77777777" w:rsidTr="00CB18DF">
        <w:trPr>
          <w:trHeight w:val="375"/>
        </w:trPr>
        <w:tc>
          <w:tcPr>
            <w:tcW w:w="0" w:type="auto"/>
            <w:vMerge w:val="restart"/>
            <w:tcBorders>
              <w:top w:val="nil"/>
              <w:left w:val="single" w:sz="8" w:space="0" w:color="auto"/>
              <w:bottom w:val="single" w:sz="8" w:space="0" w:color="000000"/>
              <w:right w:val="nil"/>
            </w:tcBorders>
            <w:shd w:val="clear" w:color="auto" w:fill="auto"/>
            <w:noWrap/>
            <w:vAlign w:val="center"/>
            <w:hideMark/>
          </w:tcPr>
          <w:p w14:paraId="79F113F8" w14:textId="77777777" w:rsidR="008C1F7A" w:rsidRPr="00301868" w:rsidRDefault="008C1F7A" w:rsidP="008C1F7A">
            <w:pPr>
              <w:spacing w:before="80" w:after="80" w:line="240" w:lineRule="auto"/>
              <w:ind w:firstLine="0"/>
              <w:jc w:val="center"/>
              <w:rPr>
                <w:rFonts w:eastAsia="Calibri"/>
                <w:b/>
                <w:bCs/>
                <w:color w:val="000000"/>
                <w:lang w:val="en-US"/>
              </w:rPr>
            </w:pPr>
            <w:r w:rsidRPr="00301868">
              <w:rPr>
                <w:rFonts w:eastAsia="Calibri"/>
                <w:b/>
                <w:bCs/>
                <w:color w:val="000000"/>
                <w:lang w:val="en-US"/>
              </w:rPr>
              <w:t>2019</w:t>
            </w:r>
          </w:p>
        </w:tc>
        <w:tc>
          <w:tcPr>
            <w:tcW w:w="3220" w:type="dxa"/>
            <w:tcBorders>
              <w:top w:val="nil"/>
              <w:left w:val="single" w:sz="8" w:space="0" w:color="auto"/>
              <w:bottom w:val="single" w:sz="4" w:space="0" w:color="auto"/>
              <w:right w:val="single" w:sz="8" w:space="0" w:color="auto"/>
            </w:tcBorders>
            <w:shd w:val="clear" w:color="auto" w:fill="auto"/>
            <w:vAlign w:val="center"/>
            <w:hideMark/>
          </w:tcPr>
          <w:p w14:paraId="30980C94" w14:textId="77777777" w:rsidR="008C1F7A" w:rsidRPr="00301868" w:rsidRDefault="008C1F7A" w:rsidP="008C1F7A">
            <w:pPr>
              <w:spacing w:before="80" w:after="80" w:line="240" w:lineRule="auto"/>
              <w:ind w:left="60" w:firstLine="0"/>
              <w:jc w:val="left"/>
              <w:rPr>
                <w:rFonts w:eastAsia="Calibri"/>
                <w:lang w:val="en-US"/>
              </w:rPr>
            </w:pPr>
            <w:r w:rsidRPr="00301868">
              <w:rPr>
                <w:rFonts w:eastAsia="Calibri"/>
                <w:lang w:val="en-US"/>
              </w:rPr>
              <w:t xml:space="preserve"> Số người tham gia</w:t>
            </w:r>
          </w:p>
        </w:tc>
        <w:tc>
          <w:tcPr>
            <w:tcW w:w="2510" w:type="dxa"/>
            <w:tcBorders>
              <w:top w:val="nil"/>
              <w:left w:val="nil"/>
              <w:bottom w:val="single" w:sz="4" w:space="0" w:color="auto"/>
              <w:right w:val="nil"/>
            </w:tcBorders>
            <w:shd w:val="clear" w:color="auto" w:fill="auto"/>
            <w:noWrap/>
            <w:vAlign w:val="center"/>
            <w:hideMark/>
          </w:tcPr>
          <w:p w14:paraId="54274A6E" w14:textId="77777777" w:rsidR="008C1F7A" w:rsidRPr="00301868" w:rsidRDefault="008C1F7A" w:rsidP="008C1F7A">
            <w:pPr>
              <w:spacing w:before="80" w:after="80" w:line="240" w:lineRule="auto"/>
              <w:ind w:right="180" w:firstLine="0"/>
              <w:jc w:val="right"/>
              <w:rPr>
                <w:rFonts w:eastAsia="Calibri"/>
                <w:lang w:val="en-US"/>
              </w:rPr>
            </w:pPr>
            <w:r w:rsidRPr="00301868">
              <w:rPr>
                <w:rFonts w:eastAsia="Calibri"/>
                <w:lang w:val="en-US"/>
              </w:rPr>
              <w:t>15,199,985</w:t>
            </w:r>
          </w:p>
        </w:tc>
        <w:tc>
          <w:tcPr>
            <w:tcW w:w="2520" w:type="dxa"/>
            <w:tcBorders>
              <w:top w:val="nil"/>
              <w:left w:val="single" w:sz="8" w:space="0" w:color="auto"/>
              <w:bottom w:val="single" w:sz="4" w:space="0" w:color="auto"/>
              <w:right w:val="single" w:sz="8" w:space="0" w:color="auto"/>
            </w:tcBorders>
            <w:shd w:val="clear" w:color="auto" w:fill="auto"/>
            <w:noWrap/>
            <w:vAlign w:val="center"/>
            <w:hideMark/>
          </w:tcPr>
          <w:p w14:paraId="025F2E70" w14:textId="77777777" w:rsidR="008C1F7A" w:rsidRPr="00301868" w:rsidRDefault="008C1F7A" w:rsidP="008C1F7A">
            <w:pPr>
              <w:spacing w:before="80" w:after="80" w:line="240" w:lineRule="auto"/>
              <w:ind w:right="180" w:firstLine="0"/>
              <w:jc w:val="right"/>
              <w:rPr>
                <w:rFonts w:eastAsia="Calibri"/>
                <w:lang w:val="en-US"/>
              </w:rPr>
            </w:pPr>
            <w:r w:rsidRPr="00301868">
              <w:rPr>
                <w:rFonts w:eastAsia="Calibri"/>
                <w:lang w:val="en-US"/>
              </w:rPr>
              <w:t>573,943</w:t>
            </w:r>
          </w:p>
        </w:tc>
      </w:tr>
      <w:tr w:rsidR="008C1F7A" w:rsidRPr="00301868" w14:paraId="79596634" w14:textId="77777777" w:rsidTr="00CB18DF">
        <w:trPr>
          <w:trHeight w:val="375"/>
        </w:trPr>
        <w:tc>
          <w:tcPr>
            <w:tcW w:w="0" w:type="auto"/>
            <w:vMerge/>
            <w:tcBorders>
              <w:top w:val="nil"/>
              <w:left w:val="single" w:sz="8" w:space="0" w:color="auto"/>
              <w:bottom w:val="single" w:sz="8" w:space="0" w:color="000000"/>
              <w:right w:val="nil"/>
            </w:tcBorders>
            <w:vAlign w:val="center"/>
            <w:hideMark/>
          </w:tcPr>
          <w:p w14:paraId="495B0180" w14:textId="77777777" w:rsidR="008C1F7A" w:rsidRPr="00301868" w:rsidRDefault="008C1F7A" w:rsidP="008C1F7A">
            <w:pPr>
              <w:spacing w:before="80" w:after="80" w:line="240" w:lineRule="auto"/>
              <w:ind w:firstLine="0"/>
              <w:jc w:val="center"/>
              <w:rPr>
                <w:rFonts w:eastAsia="Calibri"/>
                <w:b/>
                <w:bCs/>
                <w:color w:val="000000"/>
                <w:lang w:val="en-US"/>
              </w:rPr>
            </w:pPr>
          </w:p>
        </w:tc>
        <w:tc>
          <w:tcPr>
            <w:tcW w:w="3220" w:type="dxa"/>
            <w:tcBorders>
              <w:top w:val="nil"/>
              <w:left w:val="single" w:sz="8" w:space="0" w:color="auto"/>
              <w:bottom w:val="single" w:sz="4" w:space="0" w:color="auto"/>
              <w:right w:val="single" w:sz="8" w:space="0" w:color="auto"/>
            </w:tcBorders>
            <w:shd w:val="clear" w:color="auto" w:fill="auto"/>
            <w:vAlign w:val="center"/>
            <w:hideMark/>
          </w:tcPr>
          <w:p w14:paraId="43556843" w14:textId="77777777" w:rsidR="008C1F7A" w:rsidRPr="00301868" w:rsidRDefault="008C1F7A" w:rsidP="008C1F7A">
            <w:pPr>
              <w:spacing w:before="80" w:after="80" w:line="240" w:lineRule="auto"/>
              <w:ind w:left="60" w:firstLine="0"/>
              <w:jc w:val="left"/>
              <w:rPr>
                <w:rFonts w:eastAsia="Calibri"/>
                <w:i/>
                <w:iCs/>
                <w:lang w:val="en-US"/>
              </w:rPr>
            </w:pPr>
            <w:r w:rsidRPr="00301868">
              <w:rPr>
                <w:rFonts w:eastAsia="Calibri"/>
                <w:i/>
                <w:iCs/>
                <w:lang w:val="en-US"/>
              </w:rPr>
              <w:t xml:space="preserve"> Lương bình quân (đồng)</w:t>
            </w:r>
          </w:p>
        </w:tc>
        <w:tc>
          <w:tcPr>
            <w:tcW w:w="2510" w:type="dxa"/>
            <w:tcBorders>
              <w:top w:val="nil"/>
              <w:left w:val="nil"/>
              <w:bottom w:val="single" w:sz="4" w:space="0" w:color="auto"/>
              <w:right w:val="nil"/>
            </w:tcBorders>
            <w:shd w:val="clear" w:color="auto" w:fill="auto"/>
            <w:noWrap/>
            <w:vAlign w:val="center"/>
            <w:hideMark/>
          </w:tcPr>
          <w:p w14:paraId="3E8DA73C" w14:textId="77777777" w:rsidR="008C1F7A" w:rsidRPr="00301868" w:rsidRDefault="008C1F7A" w:rsidP="008C1F7A">
            <w:pPr>
              <w:spacing w:before="80" w:after="80" w:line="240" w:lineRule="auto"/>
              <w:ind w:right="180" w:firstLine="0"/>
              <w:jc w:val="right"/>
              <w:rPr>
                <w:rFonts w:eastAsia="Calibri"/>
                <w:i/>
                <w:iCs/>
                <w:lang w:val="en-US"/>
              </w:rPr>
            </w:pPr>
            <w:r w:rsidRPr="00301868">
              <w:rPr>
                <w:rFonts w:eastAsia="Calibri"/>
                <w:i/>
                <w:iCs/>
                <w:lang w:val="en-US"/>
              </w:rPr>
              <w:t>5,362,631</w:t>
            </w:r>
          </w:p>
        </w:tc>
        <w:tc>
          <w:tcPr>
            <w:tcW w:w="2520" w:type="dxa"/>
            <w:tcBorders>
              <w:top w:val="nil"/>
              <w:left w:val="single" w:sz="8" w:space="0" w:color="auto"/>
              <w:bottom w:val="single" w:sz="4" w:space="0" w:color="auto"/>
              <w:right w:val="single" w:sz="8" w:space="0" w:color="auto"/>
            </w:tcBorders>
            <w:shd w:val="clear" w:color="auto" w:fill="auto"/>
            <w:noWrap/>
            <w:vAlign w:val="center"/>
            <w:hideMark/>
          </w:tcPr>
          <w:p w14:paraId="5B557AEB" w14:textId="77777777" w:rsidR="008C1F7A" w:rsidRPr="00301868" w:rsidRDefault="008C1F7A" w:rsidP="008C1F7A">
            <w:pPr>
              <w:spacing w:before="80" w:after="80" w:line="240" w:lineRule="auto"/>
              <w:ind w:right="180" w:firstLine="0"/>
              <w:jc w:val="right"/>
              <w:rPr>
                <w:rFonts w:eastAsia="Calibri"/>
                <w:i/>
                <w:iCs/>
                <w:lang w:val="en-US"/>
              </w:rPr>
            </w:pPr>
            <w:r w:rsidRPr="00301868">
              <w:rPr>
                <w:rFonts w:eastAsia="Calibri"/>
                <w:i/>
                <w:iCs/>
                <w:lang w:val="en-US"/>
              </w:rPr>
              <w:t>1,689,740</w:t>
            </w:r>
          </w:p>
        </w:tc>
      </w:tr>
      <w:tr w:rsidR="008C1F7A" w:rsidRPr="00301868" w14:paraId="4385F48D" w14:textId="77777777" w:rsidTr="00CB18DF">
        <w:trPr>
          <w:trHeight w:val="405"/>
        </w:trPr>
        <w:tc>
          <w:tcPr>
            <w:tcW w:w="0" w:type="auto"/>
            <w:vMerge/>
            <w:tcBorders>
              <w:top w:val="nil"/>
              <w:left w:val="single" w:sz="8" w:space="0" w:color="auto"/>
              <w:bottom w:val="single" w:sz="8" w:space="0" w:color="000000"/>
              <w:right w:val="nil"/>
            </w:tcBorders>
            <w:vAlign w:val="center"/>
            <w:hideMark/>
          </w:tcPr>
          <w:p w14:paraId="75B2DB1D" w14:textId="77777777" w:rsidR="008C1F7A" w:rsidRPr="00301868" w:rsidRDefault="008C1F7A" w:rsidP="008C1F7A">
            <w:pPr>
              <w:spacing w:before="80" w:after="80" w:line="240" w:lineRule="auto"/>
              <w:ind w:firstLine="0"/>
              <w:jc w:val="center"/>
              <w:rPr>
                <w:rFonts w:eastAsia="Calibri"/>
                <w:b/>
                <w:bCs/>
                <w:color w:val="000000"/>
                <w:lang w:val="en-US"/>
              </w:rPr>
            </w:pPr>
          </w:p>
        </w:tc>
        <w:tc>
          <w:tcPr>
            <w:tcW w:w="3220" w:type="dxa"/>
            <w:tcBorders>
              <w:top w:val="nil"/>
              <w:left w:val="single" w:sz="8" w:space="0" w:color="auto"/>
              <w:bottom w:val="single" w:sz="8" w:space="0" w:color="auto"/>
              <w:right w:val="single" w:sz="8" w:space="0" w:color="auto"/>
            </w:tcBorders>
            <w:shd w:val="clear" w:color="auto" w:fill="auto"/>
            <w:vAlign w:val="center"/>
            <w:hideMark/>
          </w:tcPr>
          <w:p w14:paraId="698CDC0C" w14:textId="77777777" w:rsidR="008C1F7A" w:rsidRPr="00301868" w:rsidRDefault="008C1F7A" w:rsidP="008C1F7A">
            <w:pPr>
              <w:spacing w:before="80" w:after="80" w:line="240" w:lineRule="auto"/>
              <w:ind w:left="60" w:firstLine="0"/>
              <w:jc w:val="left"/>
              <w:rPr>
                <w:rFonts w:eastAsia="Calibri"/>
                <w:b/>
                <w:bCs/>
                <w:lang w:val="en-US"/>
              </w:rPr>
            </w:pPr>
            <w:r w:rsidRPr="00301868">
              <w:rPr>
                <w:rFonts w:eastAsia="Calibri"/>
                <w:b/>
                <w:bCs/>
                <w:lang w:val="en-US"/>
              </w:rPr>
              <w:t xml:space="preserve"> Số thu </w:t>
            </w:r>
            <w:r w:rsidRPr="00301868">
              <w:rPr>
                <w:rFonts w:eastAsia="Calibri"/>
                <w:b/>
                <w:bCs/>
                <w:i/>
                <w:iCs/>
                <w:lang w:val="en-US"/>
              </w:rPr>
              <w:t>(triệu đồng)</w:t>
            </w:r>
          </w:p>
        </w:tc>
        <w:tc>
          <w:tcPr>
            <w:tcW w:w="2510" w:type="dxa"/>
            <w:tcBorders>
              <w:top w:val="nil"/>
              <w:left w:val="nil"/>
              <w:bottom w:val="single" w:sz="8" w:space="0" w:color="auto"/>
              <w:right w:val="nil"/>
            </w:tcBorders>
            <w:shd w:val="clear" w:color="auto" w:fill="auto"/>
            <w:noWrap/>
            <w:vAlign w:val="center"/>
            <w:hideMark/>
          </w:tcPr>
          <w:p w14:paraId="5BE2A395" w14:textId="77777777" w:rsidR="008C1F7A" w:rsidRPr="00301868" w:rsidRDefault="008C1F7A" w:rsidP="008C1F7A">
            <w:pPr>
              <w:spacing w:before="80" w:after="80" w:line="240" w:lineRule="auto"/>
              <w:ind w:right="180" w:firstLine="0"/>
              <w:jc w:val="right"/>
              <w:rPr>
                <w:rFonts w:eastAsia="Calibri"/>
                <w:b/>
                <w:bCs/>
                <w:lang w:val="en-US"/>
              </w:rPr>
            </w:pPr>
            <w:r w:rsidRPr="00301868">
              <w:rPr>
                <w:rFonts w:eastAsia="Calibri"/>
                <w:b/>
                <w:bCs/>
                <w:lang w:val="en-US"/>
              </w:rPr>
              <w:t xml:space="preserve">          242,982,330 </w:t>
            </w:r>
          </w:p>
        </w:tc>
        <w:tc>
          <w:tcPr>
            <w:tcW w:w="2520" w:type="dxa"/>
            <w:tcBorders>
              <w:top w:val="nil"/>
              <w:left w:val="single" w:sz="8" w:space="0" w:color="auto"/>
              <w:bottom w:val="single" w:sz="8" w:space="0" w:color="auto"/>
              <w:right w:val="single" w:sz="8" w:space="0" w:color="auto"/>
            </w:tcBorders>
            <w:shd w:val="clear" w:color="auto" w:fill="auto"/>
            <w:noWrap/>
            <w:vAlign w:val="center"/>
            <w:hideMark/>
          </w:tcPr>
          <w:p w14:paraId="20AA6233" w14:textId="77777777" w:rsidR="008C1F7A" w:rsidRPr="00301868" w:rsidRDefault="008C1F7A" w:rsidP="008C1F7A">
            <w:pPr>
              <w:spacing w:before="80" w:after="80" w:line="240" w:lineRule="auto"/>
              <w:ind w:right="180" w:firstLine="0"/>
              <w:jc w:val="right"/>
              <w:rPr>
                <w:rFonts w:eastAsia="Calibri"/>
                <w:b/>
                <w:bCs/>
                <w:lang w:val="en-US"/>
              </w:rPr>
            </w:pPr>
            <w:r w:rsidRPr="00301868">
              <w:rPr>
                <w:rFonts w:eastAsia="Calibri"/>
                <w:b/>
                <w:bCs/>
                <w:lang w:val="en-US"/>
              </w:rPr>
              <w:t>2,378,899</w:t>
            </w:r>
          </w:p>
        </w:tc>
      </w:tr>
    </w:tbl>
    <w:p w14:paraId="05039DA4" w14:textId="77777777" w:rsidR="008C1F7A" w:rsidRPr="00301868" w:rsidRDefault="008C1F7A" w:rsidP="008C1F7A">
      <w:pPr>
        <w:spacing w:before="120" w:after="0" w:line="240" w:lineRule="auto"/>
        <w:ind w:firstLine="0"/>
        <w:jc w:val="left"/>
        <w:rPr>
          <w:rFonts w:eastAsia="Calibri"/>
          <w:sz w:val="24"/>
          <w:szCs w:val="24"/>
        </w:rPr>
      </w:pPr>
      <w:r w:rsidRPr="00301868">
        <w:rPr>
          <w:rFonts w:eastAsia="Calibri"/>
          <w:i/>
          <w:sz w:val="24"/>
          <w:szCs w:val="24"/>
        </w:rPr>
        <w:t xml:space="preserve">Nguồn: </w:t>
      </w:r>
      <w:r w:rsidRPr="00301868">
        <w:rPr>
          <w:rFonts w:eastAsia="Calibri"/>
          <w:i/>
          <w:sz w:val="24"/>
          <w:szCs w:val="24"/>
        </w:rPr>
        <w:tab/>
      </w:r>
      <w:r w:rsidRPr="00301868">
        <w:rPr>
          <w:rFonts w:eastAsia="Calibri"/>
          <w:sz w:val="24"/>
          <w:szCs w:val="24"/>
        </w:rPr>
        <w:t>Báo cáo của Bảo hiểm xã hội Việt Nam</w:t>
      </w:r>
    </w:p>
    <w:p w14:paraId="2150A713" w14:textId="04B0ABFA" w:rsidR="001875BF" w:rsidRPr="00301868" w:rsidRDefault="008C1F7A" w:rsidP="001875BF">
      <w:pPr>
        <w:pStyle w:val="Heading4"/>
        <w:rPr>
          <w:rFonts w:eastAsia="Calibri"/>
        </w:rPr>
      </w:pPr>
      <w:r w:rsidRPr="00301868">
        <w:rPr>
          <w:rFonts w:eastAsia="Calibri"/>
        </w:rPr>
        <w:t>2.1.1</w:t>
      </w:r>
      <w:r w:rsidR="001875BF" w:rsidRPr="00301868">
        <w:rPr>
          <w:rFonts w:eastAsia="Calibri"/>
        </w:rPr>
        <w:t>.</w:t>
      </w:r>
      <w:r w:rsidRPr="00301868">
        <w:rPr>
          <w:rFonts w:eastAsia="Calibri"/>
        </w:rPr>
        <w:t xml:space="preserve"> Tiền lương đóng BHX</w:t>
      </w:r>
      <w:r w:rsidR="001875BF" w:rsidRPr="00301868">
        <w:rPr>
          <w:rFonts w:eastAsia="Calibri"/>
        </w:rPr>
        <w:t>H</w:t>
      </w:r>
      <w:r w:rsidRPr="00301868">
        <w:rPr>
          <w:rFonts w:eastAsia="Calibri"/>
        </w:rPr>
        <w:t>:</w:t>
      </w:r>
    </w:p>
    <w:p w14:paraId="3FD16484" w14:textId="1626BF67" w:rsidR="008C1F7A" w:rsidRPr="00301868" w:rsidRDefault="008C1F7A" w:rsidP="001875BF">
      <w:pPr>
        <w:rPr>
          <w:rFonts w:eastAsia="Calibri"/>
        </w:rPr>
      </w:pPr>
      <w:r w:rsidRPr="00301868">
        <w:rPr>
          <w:rFonts w:eastAsia="Calibri"/>
        </w:rPr>
        <w:t>Công tác thu BHXH đạt hiệu quả cao phụ thuộc rất lớn vào mức tiền lương tháng làm căn cứ đóng BHXH. Mức độ gia tăng tiền lương tháng làm căn cứ đóng BHXH</w:t>
      </w:r>
      <w:r w:rsidRPr="00301868" w:rsidDel="00464CB9">
        <w:rPr>
          <w:rFonts w:eastAsia="Calibri"/>
        </w:rPr>
        <w:t xml:space="preserve"> </w:t>
      </w:r>
      <w:r w:rsidRPr="00301868">
        <w:rPr>
          <w:rFonts w:eastAsia="Calibri"/>
        </w:rPr>
        <w:t xml:space="preserve">giữa các loại hình doanh nghiệp khá khác nhau (Biểu 6). </w:t>
      </w:r>
    </w:p>
    <w:p w14:paraId="195E5E7E" w14:textId="77777777" w:rsidR="008C1F7A" w:rsidRPr="00301868" w:rsidRDefault="008C1F7A" w:rsidP="001875BF">
      <w:pPr>
        <w:rPr>
          <w:rFonts w:eastAsia="Calibri"/>
        </w:rPr>
      </w:pPr>
      <w:r w:rsidRPr="00301868">
        <w:rPr>
          <w:rFonts w:eastAsia="Calibri"/>
        </w:rPr>
        <w:t xml:space="preserve">Có sự gia tăng cao trong mức tiền lương tháng làm căn cứ đóng BHXH năm 2016 là do Luật BHXH 2014 quy định đối với người lao động đóng BHXH theo chế độ tiền lương do người sử dụng lao động quyết định thì tiền lương </w:t>
      </w:r>
      <w:r w:rsidRPr="00301868">
        <w:rPr>
          <w:rFonts w:eastAsia="Calibri"/>
        </w:rPr>
        <w:lastRenderedPageBreak/>
        <w:t xml:space="preserve">tháng đóng BHXH là mức lương và phụ cấp lương theo quy định của pháp luật lao động. Sau năm 2016, nức tiền lương làm căn cứ đóng tăng không đáng kể, chỉ tăng theo sự điều chỉnh mức tăng tiền lương tối thiểu vùng hàng năm. Điều này cho thấy việc tăng trong thu BHXH hằng năm không thể hiện được mối liên kết với công tác phát triển đối tượng tham gia BHXH và không thể sử dụng mức tăng trong thu BHXH như là một chỉ tiêu của phát triển đối tượng tham gia BHXH.  </w:t>
      </w:r>
    </w:p>
    <w:p w14:paraId="746A02EA" w14:textId="1884D2DD" w:rsidR="008C1F7A" w:rsidRPr="00301868" w:rsidRDefault="008C1F7A" w:rsidP="008C1F7A">
      <w:pPr>
        <w:spacing w:after="0" w:line="240" w:lineRule="auto"/>
        <w:ind w:firstLine="0"/>
        <w:jc w:val="center"/>
        <w:rPr>
          <w:rFonts w:eastAsia="Calibri"/>
          <w:b/>
        </w:rPr>
      </w:pPr>
      <w:r w:rsidRPr="00301868">
        <w:rPr>
          <w:rFonts w:eastAsia="Calibri"/>
          <w:b/>
        </w:rPr>
        <w:t>Biểu 6: Tình hình gia tăng tiền lương tháng làm căn cứ đóng BHXH</w:t>
      </w:r>
      <w:r w:rsidRPr="00301868" w:rsidDel="00464CB9">
        <w:rPr>
          <w:rFonts w:eastAsia="Calibri"/>
          <w:b/>
        </w:rPr>
        <w:t xml:space="preserve"> </w:t>
      </w:r>
      <w:r w:rsidRPr="00301868">
        <w:rPr>
          <w:rFonts w:eastAsia="Calibri"/>
          <w:b/>
        </w:rPr>
        <w:t xml:space="preserve">                                    giai đoạn 2016</w:t>
      </w:r>
      <w:r w:rsidR="00CB18DF" w:rsidRPr="00301868">
        <w:rPr>
          <w:rFonts w:eastAsia="Calibri"/>
          <w:b/>
        </w:rPr>
        <w:t>-</w:t>
      </w:r>
      <w:r w:rsidRPr="00301868">
        <w:rPr>
          <w:rFonts w:eastAsia="Calibri"/>
          <w:b/>
        </w:rPr>
        <w:t xml:space="preserve">2019 </w:t>
      </w:r>
    </w:p>
    <w:p w14:paraId="21FEC525" w14:textId="77777777" w:rsidR="008C1F7A" w:rsidRPr="00301868" w:rsidRDefault="008C1F7A" w:rsidP="008C1F7A">
      <w:pPr>
        <w:spacing w:after="0" w:line="240" w:lineRule="auto"/>
        <w:ind w:firstLine="0"/>
        <w:jc w:val="center"/>
        <w:rPr>
          <w:rFonts w:eastAsia="Calibri"/>
          <w:b/>
        </w:rPr>
      </w:pPr>
    </w:p>
    <w:p w14:paraId="45DDD2EA" w14:textId="77777777" w:rsidR="008C1F7A" w:rsidRPr="00301868" w:rsidRDefault="008C1F7A" w:rsidP="008C1F7A">
      <w:pPr>
        <w:tabs>
          <w:tab w:val="center" w:pos="7286"/>
          <w:tab w:val="right" w:pos="14572"/>
        </w:tabs>
        <w:spacing w:after="0" w:line="240" w:lineRule="auto"/>
        <w:ind w:firstLine="0"/>
        <w:jc w:val="right"/>
        <w:rPr>
          <w:rFonts w:eastAsia="Calibri"/>
          <w:lang w:val="en-US"/>
        </w:rPr>
      </w:pPr>
      <w:r w:rsidRPr="00301868">
        <w:rPr>
          <w:rFonts w:eastAsia="Calibri"/>
          <w:i/>
          <w:sz w:val="24"/>
          <w:szCs w:val="24"/>
          <w:lang w:val="pt-BR"/>
        </w:rPr>
        <w:t>Đơn vị tính: %</w:t>
      </w:r>
    </w:p>
    <w:tbl>
      <w:tblPr>
        <w:tblStyle w:val="TableGrid1"/>
        <w:tblW w:w="0" w:type="auto"/>
        <w:tblLook w:val="04A0" w:firstRow="1" w:lastRow="0" w:firstColumn="1" w:lastColumn="0" w:noHBand="0" w:noVBand="1"/>
      </w:tblPr>
      <w:tblGrid>
        <w:gridCol w:w="5701"/>
        <w:gridCol w:w="899"/>
        <w:gridCol w:w="898"/>
        <w:gridCol w:w="895"/>
        <w:gridCol w:w="895"/>
      </w:tblGrid>
      <w:tr w:rsidR="008C1F7A" w:rsidRPr="00301868" w14:paraId="3BC04C86" w14:textId="77777777" w:rsidTr="00CB18DF">
        <w:tc>
          <w:tcPr>
            <w:tcW w:w="5868" w:type="dxa"/>
          </w:tcPr>
          <w:p w14:paraId="69F136DE" w14:textId="77777777" w:rsidR="008C1F7A" w:rsidRPr="00301868" w:rsidRDefault="008C1F7A" w:rsidP="008C1F7A">
            <w:pPr>
              <w:spacing w:before="120" w:line="240" w:lineRule="auto"/>
              <w:ind w:firstLine="0"/>
              <w:jc w:val="center"/>
              <w:rPr>
                <w:rFonts w:ascii="Times New Roman" w:hAnsi="Times New Roman"/>
                <w:b/>
                <w:lang w:val="en-US"/>
              </w:rPr>
            </w:pPr>
            <w:r w:rsidRPr="00301868">
              <w:rPr>
                <w:rFonts w:ascii="Times New Roman" w:hAnsi="Times New Roman"/>
                <w:b/>
                <w:lang w:val="en-US"/>
              </w:rPr>
              <w:t>Loại hình doanh nghiệp</w:t>
            </w:r>
          </w:p>
        </w:tc>
        <w:tc>
          <w:tcPr>
            <w:tcW w:w="900" w:type="dxa"/>
          </w:tcPr>
          <w:p w14:paraId="65D2D703" w14:textId="77777777" w:rsidR="008C1F7A" w:rsidRPr="00301868" w:rsidRDefault="008C1F7A" w:rsidP="008C1F7A">
            <w:pPr>
              <w:spacing w:before="120" w:line="240" w:lineRule="auto"/>
              <w:ind w:firstLine="0"/>
              <w:jc w:val="center"/>
              <w:rPr>
                <w:rFonts w:ascii="Times New Roman" w:hAnsi="Times New Roman"/>
                <w:b/>
                <w:vertAlign w:val="superscript"/>
                <w:lang w:val="en-US"/>
              </w:rPr>
            </w:pPr>
            <w:r w:rsidRPr="00301868">
              <w:rPr>
                <w:rFonts w:ascii="Times New Roman" w:hAnsi="Times New Roman"/>
                <w:b/>
                <w:lang w:val="en-US"/>
              </w:rPr>
              <w:t>2016</w:t>
            </w:r>
            <w:r w:rsidRPr="00301868">
              <w:rPr>
                <w:rFonts w:ascii="Times New Roman" w:hAnsi="Times New Roman"/>
                <w:b/>
                <w:vertAlign w:val="superscript"/>
                <w:lang w:val="en-US"/>
              </w:rPr>
              <w:t>*</w:t>
            </w:r>
          </w:p>
        </w:tc>
        <w:tc>
          <w:tcPr>
            <w:tcW w:w="900" w:type="dxa"/>
          </w:tcPr>
          <w:p w14:paraId="648F6B4C" w14:textId="77777777" w:rsidR="008C1F7A" w:rsidRPr="00301868" w:rsidRDefault="008C1F7A" w:rsidP="008C1F7A">
            <w:pPr>
              <w:spacing w:before="120" w:line="240" w:lineRule="auto"/>
              <w:ind w:firstLine="0"/>
              <w:jc w:val="center"/>
              <w:rPr>
                <w:rFonts w:ascii="Times New Roman" w:hAnsi="Times New Roman"/>
                <w:b/>
                <w:lang w:val="en-US"/>
              </w:rPr>
            </w:pPr>
            <w:r w:rsidRPr="00301868">
              <w:rPr>
                <w:rFonts w:ascii="Times New Roman" w:hAnsi="Times New Roman"/>
                <w:b/>
                <w:lang w:val="en-US"/>
              </w:rPr>
              <w:t>2017</w:t>
            </w:r>
          </w:p>
        </w:tc>
        <w:tc>
          <w:tcPr>
            <w:tcW w:w="900" w:type="dxa"/>
          </w:tcPr>
          <w:p w14:paraId="6D144150" w14:textId="77777777" w:rsidR="008C1F7A" w:rsidRPr="00301868" w:rsidRDefault="008C1F7A" w:rsidP="008C1F7A">
            <w:pPr>
              <w:spacing w:before="120" w:line="240" w:lineRule="auto"/>
              <w:ind w:firstLine="0"/>
              <w:jc w:val="center"/>
              <w:rPr>
                <w:rFonts w:ascii="Times New Roman" w:hAnsi="Times New Roman"/>
                <w:b/>
                <w:lang w:val="en-US"/>
              </w:rPr>
            </w:pPr>
            <w:r w:rsidRPr="00301868">
              <w:rPr>
                <w:rFonts w:ascii="Times New Roman" w:hAnsi="Times New Roman"/>
                <w:b/>
                <w:lang w:val="en-US"/>
              </w:rPr>
              <w:t>2018</w:t>
            </w:r>
          </w:p>
        </w:tc>
        <w:tc>
          <w:tcPr>
            <w:tcW w:w="900" w:type="dxa"/>
          </w:tcPr>
          <w:p w14:paraId="3D1A79D2" w14:textId="77777777" w:rsidR="008C1F7A" w:rsidRPr="00301868" w:rsidRDefault="008C1F7A" w:rsidP="008C1F7A">
            <w:pPr>
              <w:spacing w:before="120" w:line="240" w:lineRule="auto"/>
              <w:ind w:firstLine="0"/>
              <w:jc w:val="center"/>
              <w:rPr>
                <w:rFonts w:ascii="Times New Roman" w:hAnsi="Times New Roman"/>
                <w:b/>
                <w:lang w:val="en-US"/>
              </w:rPr>
            </w:pPr>
            <w:r w:rsidRPr="00301868">
              <w:rPr>
                <w:rFonts w:ascii="Times New Roman" w:hAnsi="Times New Roman"/>
                <w:b/>
                <w:lang w:val="en-US"/>
              </w:rPr>
              <w:t>2019</w:t>
            </w:r>
          </w:p>
        </w:tc>
      </w:tr>
      <w:tr w:rsidR="008C1F7A" w:rsidRPr="00301868" w14:paraId="195FD598" w14:textId="77777777" w:rsidTr="00CB18DF">
        <w:tc>
          <w:tcPr>
            <w:tcW w:w="5868" w:type="dxa"/>
          </w:tcPr>
          <w:p w14:paraId="5B448559" w14:textId="77777777" w:rsidR="008C1F7A" w:rsidRPr="00301868" w:rsidRDefault="008C1F7A" w:rsidP="008C1F7A">
            <w:pPr>
              <w:numPr>
                <w:ilvl w:val="0"/>
                <w:numId w:val="20"/>
              </w:numPr>
              <w:spacing w:before="120" w:after="0" w:line="240" w:lineRule="auto"/>
              <w:contextualSpacing/>
              <w:jc w:val="center"/>
              <w:rPr>
                <w:rFonts w:ascii="Times New Roman" w:hAnsi="Times New Roman"/>
              </w:rPr>
            </w:pPr>
            <w:r w:rsidRPr="00301868">
              <w:rPr>
                <w:rFonts w:ascii="Times New Roman" w:hAnsi="Times New Roman"/>
              </w:rPr>
              <w:t>Doanh nghiệp nhà nước, doanh nghiệp nhà nước chuyển thành công ty cổ phần</w:t>
            </w:r>
          </w:p>
        </w:tc>
        <w:tc>
          <w:tcPr>
            <w:tcW w:w="900" w:type="dxa"/>
          </w:tcPr>
          <w:p w14:paraId="6EBC8AE9"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17,48</w:t>
            </w:r>
          </w:p>
        </w:tc>
        <w:tc>
          <w:tcPr>
            <w:tcW w:w="900" w:type="dxa"/>
          </w:tcPr>
          <w:p w14:paraId="5229F5D8"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30,73</w:t>
            </w:r>
          </w:p>
        </w:tc>
        <w:tc>
          <w:tcPr>
            <w:tcW w:w="900" w:type="dxa"/>
          </w:tcPr>
          <w:p w14:paraId="2EC93A35"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5,97</w:t>
            </w:r>
          </w:p>
        </w:tc>
        <w:tc>
          <w:tcPr>
            <w:tcW w:w="900" w:type="dxa"/>
          </w:tcPr>
          <w:p w14:paraId="78CADBD1"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5,22</w:t>
            </w:r>
          </w:p>
        </w:tc>
      </w:tr>
      <w:tr w:rsidR="008C1F7A" w:rsidRPr="00301868" w14:paraId="0D2A7F97" w14:textId="77777777" w:rsidTr="00CB18DF">
        <w:tc>
          <w:tcPr>
            <w:tcW w:w="5868" w:type="dxa"/>
          </w:tcPr>
          <w:p w14:paraId="0C91D4A8" w14:textId="77777777" w:rsidR="008C1F7A" w:rsidRPr="00301868" w:rsidRDefault="008C1F7A" w:rsidP="008C1F7A">
            <w:pPr>
              <w:numPr>
                <w:ilvl w:val="0"/>
                <w:numId w:val="20"/>
              </w:numPr>
              <w:spacing w:before="120" w:after="0" w:line="240" w:lineRule="auto"/>
              <w:contextualSpacing/>
              <w:jc w:val="center"/>
              <w:rPr>
                <w:rFonts w:ascii="Times New Roman" w:hAnsi="Times New Roman"/>
              </w:rPr>
            </w:pPr>
            <w:r w:rsidRPr="00301868">
              <w:rPr>
                <w:rFonts w:ascii="Times New Roman" w:hAnsi="Times New Roman"/>
              </w:rPr>
              <w:t>Doanh nghiệp có vốn đầu tư nước ngoài</w:t>
            </w:r>
          </w:p>
        </w:tc>
        <w:tc>
          <w:tcPr>
            <w:tcW w:w="900" w:type="dxa"/>
          </w:tcPr>
          <w:p w14:paraId="5197D97E"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20,31</w:t>
            </w:r>
          </w:p>
        </w:tc>
        <w:tc>
          <w:tcPr>
            <w:tcW w:w="900" w:type="dxa"/>
          </w:tcPr>
          <w:p w14:paraId="497F93E9"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3,28</w:t>
            </w:r>
          </w:p>
        </w:tc>
        <w:tc>
          <w:tcPr>
            <w:tcW w:w="900" w:type="dxa"/>
          </w:tcPr>
          <w:p w14:paraId="3E5A2304"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5,98</w:t>
            </w:r>
          </w:p>
        </w:tc>
        <w:tc>
          <w:tcPr>
            <w:tcW w:w="900" w:type="dxa"/>
          </w:tcPr>
          <w:p w14:paraId="22FE3456"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5,10</w:t>
            </w:r>
          </w:p>
        </w:tc>
      </w:tr>
      <w:tr w:rsidR="008C1F7A" w:rsidRPr="00301868" w14:paraId="1A8B4E42" w14:textId="77777777" w:rsidTr="00CB18DF">
        <w:tc>
          <w:tcPr>
            <w:tcW w:w="5868" w:type="dxa"/>
          </w:tcPr>
          <w:p w14:paraId="326D8E1C" w14:textId="77777777" w:rsidR="008C1F7A" w:rsidRPr="00301868" w:rsidRDefault="008C1F7A" w:rsidP="008C1F7A">
            <w:pPr>
              <w:numPr>
                <w:ilvl w:val="0"/>
                <w:numId w:val="20"/>
              </w:numPr>
              <w:spacing w:before="120" w:after="0" w:line="240" w:lineRule="auto"/>
              <w:contextualSpacing/>
              <w:jc w:val="center"/>
              <w:rPr>
                <w:rFonts w:ascii="Times New Roman" w:hAnsi="Times New Roman"/>
              </w:rPr>
            </w:pPr>
            <w:r w:rsidRPr="00301868">
              <w:rPr>
                <w:rFonts w:ascii="Times New Roman" w:hAnsi="Times New Roman"/>
              </w:rPr>
              <w:t>Doanh nghiệp ngoài quốc doanh</w:t>
            </w:r>
          </w:p>
        </w:tc>
        <w:tc>
          <w:tcPr>
            <w:tcW w:w="900" w:type="dxa"/>
          </w:tcPr>
          <w:p w14:paraId="2FF1A23D"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17,57</w:t>
            </w:r>
          </w:p>
        </w:tc>
        <w:tc>
          <w:tcPr>
            <w:tcW w:w="900" w:type="dxa"/>
          </w:tcPr>
          <w:p w14:paraId="63E9BE5F"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5,93</w:t>
            </w:r>
          </w:p>
        </w:tc>
        <w:tc>
          <w:tcPr>
            <w:tcW w:w="900" w:type="dxa"/>
          </w:tcPr>
          <w:p w14:paraId="193935E7"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5,93</w:t>
            </w:r>
          </w:p>
        </w:tc>
        <w:tc>
          <w:tcPr>
            <w:tcW w:w="900" w:type="dxa"/>
          </w:tcPr>
          <w:p w14:paraId="42D5AE44" w14:textId="77777777" w:rsidR="008C1F7A" w:rsidRPr="00301868" w:rsidRDefault="008C1F7A" w:rsidP="008C1F7A">
            <w:pPr>
              <w:spacing w:before="120" w:line="240" w:lineRule="auto"/>
              <w:ind w:firstLine="0"/>
              <w:jc w:val="right"/>
              <w:rPr>
                <w:rFonts w:ascii="Times New Roman" w:hAnsi="Times New Roman"/>
                <w:lang w:val="en-US"/>
              </w:rPr>
            </w:pPr>
            <w:r w:rsidRPr="00301868">
              <w:rPr>
                <w:rFonts w:ascii="Times New Roman" w:hAnsi="Times New Roman"/>
                <w:lang w:val="en-US"/>
              </w:rPr>
              <w:t>6,37</w:t>
            </w:r>
          </w:p>
        </w:tc>
      </w:tr>
    </w:tbl>
    <w:p w14:paraId="6D45EE80" w14:textId="77777777" w:rsidR="008C1F7A" w:rsidRPr="00301868" w:rsidRDefault="008C1F7A" w:rsidP="008C1F7A">
      <w:pPr>
        <w:spacing w:before="60" w:after="0" w:line="240" w:lineRule="auto"/>
        <w:ind w:firstLine="0"/>
        <w:jc w:val="left"/>
        <w:rPr>
          <w:rFonts w:eastAsia="Calibri"/>
          <w:sz w:val="24"/>
          <w:szCs w:val="24"/>
        </w:rPr>
      </w:pPr>
      <w:r w:rsidRPr="00301868">
        <w:rPr>
          <w:rFonts w:eastAsia="Calibri"/>
          <w:i/>
          <w:sz w:val="24"/>
          <w:szCs w:val="24"/>
        </w:rPr>
        <w:t xml:space="preserve">Nguồn: </w:t>
      </w:r>
      <w:r w:rsidRPr="00301868">
        <w:rPr>
          <w:rFonts w:eastAsia="Calibri"/>
          <w:i/>
          <w:sz w:val="24"/>
          <w:szCs w:val="24"/>
        </w:rPr>
        <w:tab/>
      </w:r>
      <w:r w:rsidRPr="00301868">
        <w:rPr>
          <w:rFonts w:eastAsia="Calibri"/>
          <w:sz w:val="24"/>
          <w:szCs w:val="24"/>
        </w:rPr>
        <w:t>Báo cáo của Bảo hiểm xã hội Việt Nam</w:t>
      </w:r>
    </w:p>
    <w:p w14:paraId="2EDB8B01" w14:textId="77777777" w:rsidR="008C1F7A" w:rsidRPr="00301868" w:rsidRDefault="008C1F7A" w:rsidP="008C1F7A">
      <w:pPr>
        <w:spacing w:before="60" w:after="0" w:line="240" w:lineRule="auto"/>
        <w:ind w:firstLine="0"/>
        <w:rPr>
          <w:rFonts w:eastAsia="Calibri"/>
          <w:sz w:val="24"/>
          <w:szCs w:val="24"/>
          <w:lang w:val="en-US"/>
        </w:rPr>
      </w:pPr>
      <w:r w:rsidRPr="00301868">
        <w:rPr>
          <w:rFonts w:eastAsia="Calibri"/>
          <w:i/>
          <w:sz w:val="24"/>
          <w:szCs w:val="24"/>
          <w:lang w:val="en-US"/>
        </w:rPr>
        <w:t xml:space="preserve">Lưu ý: </w:t>
      </w:r>
      <w:r w:rsidRPr="00301868">
        <w:rPr>
          <w:rFonts w:eastAsia="Calibri"/>
          <w:i/>
          <w:sz w:val="24"/>
          <w:szCs w:val="24"/>
          <w:lang w:val="en-US"/>
        </w:rPr>
        <w:tab/>
      </w:r>
      <w:r w:rsidRPr="00301868">
        <w:rPr>
          <w:rFonts w:eastAsia="Calibri"/>
          <w:i/>
          <w:sz w:val="24"/>
          <w:szCs w:val="24"/>
          <w:lang w:val="en-US"/>
        </w:rPr>
        <w:tab/>
      </w:r>
      <w:r w:rsidRPr="00301868">
        <w:rPr>
          <w:rFonts w:eastAsia="Calibri"/>
          <w:sz w:val="24"/>
          <w:szCs w:val="24"/>
          <w:lang w:val="en-US"/>
        </w:rPr>
        <w:t xml:space="preserve">(*) So với năm 2015 </w:t>
      </w:r>
    </w:p>
    <w:p w14:paraId="37706B6C" w14:textId="77777777" w:rsidR="008C1F7A" w:rsidRPr="00301868" w:rsidRDefault="008C1F7A" w:rsidP="008C1F7A">
      <w:pPr>
        <w:spacing w:after="0" w:line="240" w:lineRule="auto"/>
        <w:ind w:firstLine="0"/>
        <w:rPr>
          <w:rFonts w:eastAsia="Calibri"/>
          <w:lang w:val="en-US"/>
        </w:rPr>
      </w:pPr>
    </w:p>
    <w:p w14:paraId="6ED5E1B4" w14:textId="77777777" w:rsidR="008C1F7A" w:rsidRPr="00301868" w:rsidRDefault="008C1F7A" w:rsidP="001875BF">
      <w:pPr>
        <w:rPr>
          <w:rFonts w:eastAsia="Calibri"/>
          <w:lang w:val="en-US"/>
        </w:rPr>
      </w:pPr>
      <w:r w:rsidRPr="00301868">
        <w:rPr>
          <w:rFonts w:eastAsia="Calibri"/>
          <w:lang w:val="en-US"/>
        </w:rPr>
        <w:t>Theo phản ánh của các địa phương, mặc dù Luật BHXH 2014 và các văn bản quy phạm pháp luật đã hướng dẫn chi tiết mức tiền lương tháng làm căn cứ đóng BHXH nhưng ở một số doanh nghiệp vẫn tồn tại 3 loại thu nhập, bao gồm: (i) thu nhập để làm căn cứ đóng BHXH, (ii) thu nhập để doanh nghiệp thực hiện quyết toán, và (iii) thu nhập thực tế chi trả cho người lao động. Thu nhập để làm căn cứ đóng BHXH luôn ở mức thấp nhất (</w:t>
      </w:r>
      <w:r w:rsidRPr="00301868">
        <w:rPr>
          <w:rFonts w:eastAsia="Calibri"/>
          <w:i/>
          <w:lang w:val="en-US"/>
        </w:rPr>
        <w:t>bằng mức lương tối thiểu vùng, cộng 7% đối với lao động đã qua đào tạo nghề và cộng thêm 5% hoặc 7% đối với lao động làm nghề hoặc công việc nặng nhọc, độc hại, nguy hiểm hoặc đặc biệt nặng nhọc, độc hại, nguy hiểm</w:t>
      </w:r>
      <w:r w:rsidRPr="00301868">
        <w:rPr>
          <w:rFonts w:eastAsia="Calibri"/>
          <w:lang w:val="en-US"/>
        </w:rPr>
        <w:t>). Điều này sẽ ảnh hưởng rất lớn đến mức hưởng các chế độ BHXH, đặc biệt là mức hưởng lương hưu khi về già.</w:t>
      </w:r>
    </w:p>
    <w:p w14:paraId="64858C18" w14:textId="6650F898" w:rsidR="001875BF" w:rsidRPr="00301868" w:rsidRDefault="008C1F7A" w:rsidP="001875BF">
      <w:pPr>
        <w:pStyle w:val="Heading4"/>
        <w:rPr>
          <w:rFonts w:eastAsia="Calibri"/>
          <w:lang w:val="en-US"/>
        </w:rPr>
      </w:pPr>
      <w:r w:rsidRPr="00301868">
        <w:rPr>
          <w:rFonts w:eastAsia="Calibri"/>
          <w:lang w:val="en-US"/>
        </w:rPr>
        <w:t>2.1.2</w:t>
      </w:r>
      <w:r w:rsidR="001875BF" w:rsidRPr="00301868">
        <w:rPr>
          <w:rFonts w:eastAsia="Calibri"/>
          <w:lang w:val="en-US"/>
        </w:rPr>
        <w:t>.</w:t>
      </w:r>
      <w:r w:rsidRPr="00301868">
        <w:rPr>
          <w:rFonts w:eastAsia="Calibri"/>
          <w:lang w:val="en-US"/>
        </w:rPr>
        <w:t xml:space="preserve"> Nợ đóng BHXH</w:t>
      </w:r>
      <w:r w:rsidR="001875BF" w:rsidRPr="00301868">
        <w:rPr>
          <w:rFonts w:eastAsia="Calibri"/>
          <w:lang w:val="en-US"/>
        </w:rPr>
        <w:t>:</w:t>
      </w:r>
    </w:p>
    <w:p w14:paraId="2FE9A229" w14:textId="77070CDE" w:rsidR="008C1F7A" w:rsidRPr="00301868" w:rsidRDefault="008C1F7A" w:rsidP="001875BF">
      <w:pPr>
        <w:rPr>
          <w:rFonts w:eastAsia="Calibri"/>
          <w:lang w:val="en-US"/>
        </w:rPr>
      </w:pPr>
      <w:r w:rsidRPr="00301868">
        <w:rPr>
          <w:rFonts w:eastAsia="Calibri"/>
          <w:lang w:val="en-US"/>
        </w:rPr>
        <w:t xml:space="preserve">Công tác thu BHXH cũng phải đối mặt với tình trạng trốn đóng, chậm đóng và nợ đóng BHXH xảy ra phổ biến ở hầu hết các tỉnh/thành phố. Theo báo cáo của Bảo hiểm xã hội Việt Nam, tính đến hết năm 2019, số doanh nghiệp nợ đóng BHXH là 175.004 đơn vị với tổng số lao động là 3.406.520 người; số tiền nợ BHXH phải tính lãi của doanh nghiệp là 5.380 tỷ đồng (Chi tiết xem Biểu 7). Điều đáng lưu ý là nhiều trong số các doanh nghiệp nợ tiền đóng BHXH có chủ sở hữu là người nước ngoài bỏ trốn khỏi Việt Nam, dẫn đến tình trạng rất khó xử lý để thu hồi nợ. </w:t>
      </w:r>
    </w:p>
    <w:p w14:paraId="7381B677" w14:textId="77777777" w:rsidR="008C1F7A" w:rsidRPr="00301868" w:rsidRDefault="008C1F7A" w:rsidP="008C1F7A">
      <w:pPr>
        <w:spacing w:after="0" w:line="240" w:lineRule="auto"/>
        <w:ind w:firstLine="0"/>
        <w:jc w:val="center"/>
        <w:rPr>
          <w:rFonts w:eastAsia="Calibri"/>
          <w:b/>
          <w:lang w:val="en-US"/>
        </w:rPr>
      </w:pPr>
      <w:r w:rsidRPr="00301868">
        <w:rPr>
          <w:rFonts w:eastAsia="Calibri"/>
          <w:b/>
          <w:lang w:val="en-US"/>
        </w:rPr>
        <w:lastRenderedPageBreak/>
        <w:t>Biểu 7: Tình hình chậm đóng, nợ đóng BHXH bắt buộc</w:t>
      </w:r>
    </w:p>
    <w:p w14:paraId="5241DC0E" w14:textId="77777777" w:rsidR="008C1F7A" w:rsidRPr="00301868" w:rsidRDefault="008C1F7A" w:rsidP="008C1F7A">
      <w:pPr>
        <w:spacing w:after="0" w:line="240" w:lineRule="auto"/>
        <w:ind w:firstLine="0"/>
        <w:rPr>
          <w:rFonts w:eastAsia="Calibri"/>
          <w:lang w:val="en-US"/>
        </w:rPr>
      </w:pPr>
    </w:p>
    <w:p w14:paraId="43A3E36C" w14:textId="77777777" w:rsidR="008C1F7A" w:rsidRPr="00301868" w:rsidRDefault="008C1F7A" w:rsidP="008C1F7A">
      <w:pPr>
        <w:tabs>
          <w:tab w:val="center" w:pos="7286"/>
          <w:tab w:val="right" w:pos="14572"/>
        </w:tabs>
        <w:spacing w:after="0" w:line="240" w:lineRule="auto"/>
        <w:ind w:firstLine="0"/>
        <w:jc w:val="right"/>
        <w:rPr>
          <w:rFonts w:eastAsia="Calibri"/>
          <w:lang w:val="en-US"/>
        </w:rPr>
      </w:pPr>
      <w:r w:rsidRPr="00301868">
        <w:rPr>
          <w:rFonts w:eastAsia="Calibri"/>
          <w:i/>
          <w:sz w:val="24"/>
          <w:szCs w:val="24"/>
          <w:lang w:val="pt-BR"/>
        </w:rPr>
        <w:t>Đơn vị tính: tỷ đồng</w:t>
      </w:r>
    </w:p>
    <w:tbl>
      <w:tblPr>
        <w:tblW w:w="9393" w:type="dxa"/>
        <w:tblInd w:w="103" w:type="dxa"/>
        <w:tblLook w:val="04A0" w:firstRow="1" w:lastRow="0" w:firstColumn="1" w:lastColumn="0" w:noHBand="0" w:noVBand="1"/>
      </w:tblPr>
      <w:tblGrid>
        <w:gridCol w:w="725"/>
        <w:gridCol w:w="4590"/>
        <w:gridCol w:w="1378"/>
        <w:gridCol w:w="1350"/>
        <w:gridCol w:w="1350"/>
      </w:tblGrid>
      <w:tr w:rsidR="008C1F7A" w:rsidRPr="00301868" w14:paraId="5A07AFED" w14:textId="77777777" w:rsidTr="00CB18DF">
        <w:trPr>
          <w:trHeight w:val="390"/>
        </w:trPr>
        <w:tc>
          <w:tcPr>
            <w:tcW w:w="72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87404"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Số TT</w:t>
            </w:r>
          </w:p>
        </w:tc>
        <w:tc>
          <w:tcPr>
            <w:tcW w:w="459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9675F65"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Loại hình</w:t>
            </w:r>
          </w:p>
        </w:tc>
        <w:tc>
          <w:tcPr>
            <w:tcW w:w="1378" w:type="dxa"/>
            <w:tcBorders>
              <w:top w:val="single" w:sz="4" w:space="0" w:color="auto"/>
              <w:left w:val="nil"/>
              <w:bottom w:val="single" w:sz="4" w:space="0" w:color="auto"/>
              <w:right w:val="nil"/>
            </w:tcBorders>
            <w:shd w:val="clear" w:color="auto" w:fill="auto"/>
            <w:vAlign w:val="center"/>
            <w:hideMark/>
          </w:tcPr>
          <w:p w14:paraId="4DC38A65"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Năm 2017</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1A12ECA"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Năm 2018</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F8CDD03"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Năm 2019</w:t>
            </w:r>
          </w:p>
        </w:tc>
      </w:tr>
      <w:tr w:rsidR="008C1F7A" w:rsidRPr="00301868" w14:paraId="198DA84E" w14:textId="77777777" w:rsidTr="00CB18DF">
        <w:trPr>
          <w:trHeight w:val="4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73F51067"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1</w:t>
            </w:r>
          </w:p>
        </w:tc>
        <w:tc>
          <w:tcPr>
            <w:tcW w:w="4590" w:type="dxa"/>
            <w:tcBorders>
              <w:top w:val="nil"/>
              <w:left w:val="nil"/>
              <w:bottom w:val="single" w:sz="4" w:space="0" w:color="auto"/>
              <w:right w:val="single" w:sz="4" w:space="0" w:color="auto"/>
            </w:tcBorders>
            <w:shd w:val="clear" w:color="auto" w:fill="auto"/>
            <w:noWrap/>
            <w:vAlign w:val="center"/>
            <w:hideMark/>
          </w:tcPr>
          <w:p w14:paraId="1B83428C" w14:textId="77777777" w:rsidR="008C1F7A" w:rsidRPr="00301868" w:rsidRDefault="008C1F7A" w:rsidP="008C1F7A">
            <w:pPr>
              <w:spacing w:after="0" w:line="240" w:lineRule="auto"/>
              <w:ind w:firstLine="0"/>
              <w:jc w:val="left"/>
              <w:rPr>
                <w:sz w:val="26"/>
                <w:szCs w:val="26"/>
                <w:lang w:val="en-US"/>
              </w:rPr>
            </w:pPr>
            <w:r w:rsidRPr="00301868">
              <w:rPr>
                <w:sz w:val="26"/>
                <w:szCs w:val="26"/>
                <w:lang w:val="en-US"/>
              </w:rPr>
              <w:t>Hành chính sự nghiệp, Đảng, đoàn thể, lực lượng vũ trang</w:t>
            </w:r>
          </w:p>
        </w:tc>
        <w:tc>
          <w:tcPr>
            <w:tcW w:w="1378" w:type="dxa"/>
            <w:tcBorders>
              <w:top w:val="nil"/>
              <w:left w:val="nil"/>
              <w:bottom w:val="single" w:sz="4" w:space="0" w:color="auto"/>
              <w:right w:val="single" w:sz="4" w:space="0" w:color="auto"/>
            </w:tcBorders>
            <w:shd w:val="clear" w:color="auto" w:fill="auto"/>
            <w:noWrap/>
            <w:vAlign w:val="center"/>
            <w:hideMark/>
          </w:tcPr>
          <w:p w14:paraId="159CA38B"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259</w:t>
            </w:r>
          </w:p>
        </w:tc>
        <w:tc>
          <w:tcPr>
            <w:tcW w:w="1350" w:type="dxa"/>
            <w:tcBorders>
              <w:top w:val="nil"/>
              <w:left w:val="nil"/>
              <w:bottom w:val="single" w:sz="4" w:space="0" w:color="auto"/>
              <w:right w:val="single" w:sz="4" w:space="0" w:color="auto"/>
            </w:tcBorders>
            <w:shd w:val="clear" w:color="auto" w:fill="auto"/>
            <w:noWrap/>
            <w:vAlign w:val="center"/>
            <w:hideMark/>
          </w:tcPr>
          <w:p w14:paraId="353AC531"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230</w:t>
            </w:r>
          </w:p>
        </w:tc>
        <w:tc>
          <w:tcPr>
            <w:tcW w:w="1350" w:type="dxa"/>
            <w:tcBorders>
              <w:top w:val="nil"/>
              <w:left w:val="nil"/>
              <w:bottom w:val="single" w:sz="4" w:space="0" w:color="auto"/>
              <w:right w:val="single" w:sz="4" w:space="0" w:color="auto"/>
            </w:tcBorders>
            <w:shd w:val="clear" w:color="auto" w:fill="auto"/>
            <w:noWrap/>
            <w:vAlign w:val="center"/>
            <w:hideMark/>
          </w:tcPr>
          <w:p w14:paraId="2AABBD65"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190</w:t>
            </w:r>
          </w:p>
        </w:tc>
      </w:tr>
      <w:tr w:rsidR="008C1F7A" w:rsidRPr="00301868" w14:paraId="6ACE783D" w14:textId="77777777" w:rsidTr="00CB18DF">
        <w:trPr>
          <w:trHeight w:val="4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6A7E7F4A"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2</w:t>
            </w:r>
          </w:p>
        </w:tc>
        <w:tc>
          <w:tcPr>
            <w:tcW w:w="4590" w:type="dxa"/>
            <w:tcBorders>
              <w:top w:val="nil"/>
              <w:left w:val="nil"/>
              <w:bottom w:val="single" w:sz="4" w:space="0" w:color="auto"/>
              <w:right w:val="single" w:sz="4" w:space="0" w:color="auto"/>
            </w:tcBorders>
            <w:shd w:val="clear" w:color="auto" w:fill="auto"/>
            <w:noWrap/>
            <w:vAlign w:val="center"/>
            <w:hideMark/>
          </w:tcPr>
          <w:p w14:paraId="11E63A9D" w14:textId="77777777" w:rsidR="008C1F7A" w:rsidRPr="00301868" w:rsidRDefault="008C1F7A" w:rsidP="008C1F7A">
            <w:pPr>
              <w:spacing w:after="0" w:line="240" w:lineRule="auto"/>
              <w:ind w:firstLine="0"/>
              <w:jc w:val="left"/>
              <w:rPr>
                <w:sz w:val="26"/>
                <w:szCs w:val="26"/>
                <w:lang w:val="en-US"/>
              </w:rPr>
            </w:pPr>
            <w:r w:rsidRPr="00301868">
              <w:rPr>
                <w:sz w:val="26"/>
                <w:szCs w:val="26"/>
                <w:lang w:val="en-US"/>
              </w:rPr>
              <w:t>Xã, phường, thị trấn</w:t>
            </w:r>
          </w:p>
        </w:tc>
        <w:tc>
          <w:tcPr>
            <w:tcW w:w="1378" w:type="dxa"/>
            <w:tcBorders>
              <w:top w:val="nil"/>
              <w:left w:val="nil"/>
              <w:bottom w:val="single" w:sz="4" w:space="0" w:color="auto"/>
              <w:right w:val="single" w:sz="4" w:space="0" w:color="auto"/>
            </w:tcBorders>
            <w:shd w:val="clear" w:color="auto" w:fill="auto"/>
            <w:noWrap/>
            <w:vAlign w:val="center"/>
            <w:hideMark/>
          </w:tcPr>
          <w:p w14:paraId="48634EC2"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36</w:t>
            </w:r>
          </w:p>
        </w:tc>
        <w:tc>
          <w:tcPr>
            <w:tcW w:w="1350" w:type="dxa"/>
            <w:tcBorders>
              <w:top w:val="nil"/>
              <w:left w:val="nil"/>
              <w:bottom w:val="single" w:sz="4" w:space="0" w:color="auto"/>
              <w:right w:val="single" w:sz="4" w:space="0" w:color="auto"/>
            </w:tcBorders>
            <w:shd w:val="clear" w:color="auto" w:fill="auto"/>
            <w:noWrap/>
            <w:vAlign w:val="center"/>
            <w:hideMark/>
          </w:tcPr>
          <w:p w14:paraId="24D14B62"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28</w:t>
            </w:r>
          </w:p>
        </w:tc>
        <w:tc>
          <w:tcPr>
            <w:tcW w:w="1350" w:type="dxa"/>
            <w:tcBorders>
              <w:top w:val="nil"/>
              <w:left w:val="nil"/>
              <w:bottom w:val="single" w:sz="4" w:space="0" w:color="auto"/>
              <w:right w:val="single" w:sz="4" w:space="0" w:color="auto"/>
            </w:tcBorders>
            <w:shd w:val="clear" w:color="auto" w:fill="auto"/>
            <w:noWrap/>
            <w:vAlign w:val="center"/>
            <w:hideMark/>
          </w:tcPr>
          <w:p w14:paraId="0C45BF74"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25</w:t>
            </w:r>
          </w:p>
        </w:tc>
      </w:tr>
      <w:tr w:rsidR="008C1F7A" w:rsidRPr="00301868" w14:paraId="0D4F2625" w14:textId="77777777" w:rsidTr="00CB18DF">
        <w:trPr>
          <w:trHeight w:val="4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0DE7B7B8"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3</w:t>
            </w:r>
          </w:p>
        </w:tc>
        <w:tc>
          <w:tcPr>
            <w:tcW w:w="4590" w:type="dxa"/>
            <w:tcBorders>
              <w:top w:val="nil"/>
              <w:left w:val="nil"/>
              <w:bottom w:val="single" w:sz="4" w:space="0" w:color="auto"/>
              <w:right w:val="single" w:sz="4" w:space="0" w:color="auto"/>
            </w:tcBorders>
            <w:shd w:val="clear" w:color="auto" w:fill="auto"/>
            <w:noWrap/>
            <w:vAlign w:val="center"/>
            <w:hideMark/>
          </w:tcPr>
          <w:p w14:paraId="0D7FD58E" w14:textId="77777777" w:rsidR="008C1F7A" w:rsidRPr="00301868" w:rsidRDefault="008C1F7A" w:rsidP="008C1F7A">
            <w:pPr>
              <w:spacing w:after="0" w:line="240" w:lineRule="auto"/>
              <w:ind w:firstLine="0"/>
              <w:jc w:val="left"/>
              <w:rPr>
                <w:sz w:val="26"/>
                <w:szCs w:val="26"/>
                <w:lang w:val="en-US"/>
              </w:rPr>
            </w:pPr>
            <w:r w:rsidRPr="00301868">
              <w:rPr>
                <w:sz w:val="26"/>
                <w:szCs w:val="26"/>
                <w:lang w:val="en-US"/>
              </w:rPr>
              <w:t>Ngoài công lập</w:t>
            </w:r>
          </w:p>
        </w:tc>
        <w:tc>
          <w:tcPr>
            <w:tcW w:w="1378" w:type="dxa"/>
            <w:tcBorders>
              <w:top w:val="nil"/>
              <w:left w:val="nil"/>
              <w:bottom w:val="single" w:sz="4" w:space="0" w:color="auto"/>
              <w:right w:val="single" w:sz="4" w:space="0" w:color="auto"/>
            </w:tcBorders>
            <w:shd w:val="clear" w:color="auto" w:fill="auto"/>
            <w:noWrap/>
            <w:vAlign w:val="center"/>
            <w:hideMark/>
          </w:tcPr>
          <w:p w14:paraId="7C30558A"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36</w:t>
            </w:r>
          </w:p>
        </w:tc>
        <w:tc>
          <w:tcPr>
            <w:tcW w:w="1350" w:type="dxa"/>
            <w:tcBorders>
              <w:top w:val="nil"/>
              <w:left w:val="nil"/>
              <w:bottom w:val="single" w:sz="4" w:space="0" w:color="auto"/>
              <w:right w:val="single" w:sz="4" w:space="0" w:color="auto"/>
            </w:tcBorders>
            <w:shd w:val="clear" w:color="auto" w:fill="auto"/>
            <w:noWrap/>
            <w:vAlign w:val="center"/>
            <w:hideMark/>
          </w:tcPr>
          <w:p w14:paraId="654E8EBC"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31</w:t>
            </w:r>
          </w:p>
        </w:tc>
        <w:tc>
          <w:tcPr>
            <w:tcW w:w="1350" w:type="dxa"/>
            <w:tcBorders>
              <w:top w:val="nil"/>
              <w:left w:val="nil"/>
              <w:bottom w:val="single" w:sz="4" w:space="0" w:color="auto"/>
              <w:right w:val="single" w:sz="4" w:space="0" w:color="auto"/>
            </w:tcBorders>
            <w:shd w:val="clear" w:color="auto" w:fill="auto"/>
            <w:noWrap/>
            <w:vAlign w:val="center"/>
            <w:hideMark/>
          </w:tcPr>
          <w:p w14:paraId="11C6A907"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32</w:t>
            </w:r>
          </w:p>
        </w:tc>
      </w:tr>
      <w:tr w:rsidR="008C1F7A" w:rsidRPr="00301868" w14:paraId="3471F80D" w14:textId="77777777" w:rsidTr="00CB18DF">
        <w:trPr>
          <w:trHeight w:val="4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3077208D"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4</w:t>
            </w:r>
          </w:p>
        </w:tc>
        <w:tc>
          <w:tcPr>
            <w:tcW w:w="4590" w:type="dxa"/>
            <w:tcBorders>
              <w:top w:val="nil"/>
              <w:left w:val="nil"/>
              <w:bottom w:val="single" w:sz="4" w:space="0" w:color="auto"/>
              <w:right w:val="single" w:sz="4" w:space="0" w:color="auto"/>
            </w:tcBorders>
            <w:shd w:val="clear" w:color="auto" w:fill="auto"/>
            <w:noWrap/>
            <w:vAlign w:val="center"/>
            <w:hideMark/>
          </w:tcPr>
          <w:p w14:paraId="65288328" w14:textId="77777777" w:rsidR="008C1F7A" w:rsidRPr="00301868" w:rsidRDefault="008C1F7A" w:rsidP="008C1F7A">
            <w:pPr>
              <w:spacing w:after="0" w:line="240" w:lineRule="auto"/>
              <w:ind w:firstLine="0"/>
              <w:jc w:val="left"/>
              <w:rPr>
                <w:sz w:val="26"/>
                <w:szCs w:val="26"/>
                <w:lang w:val="en-US"/>
              </w:rPr>
            </w:pPr>
            <w:r w:rsidRPr="00301868">
              <w:rPr>
                <w:sz w:val="26"/>
                <w:szCs w:val="26"/>
                <w:lang w:val="en-US"/>
              </w:rPr>
              <w:t>Doanh nghiệp Nhà nước</w:t>
            </w:r>
          </w:p>
        </w:tc>
        <w:tc>
          <w:tcPr>
            <w:tcW w:w="1378" w:type="dxa"/>
            <w:tcBorders>
              <w:top w:val="nil"/>
              <w:left w:val="nil"/>
              <w:bottom w:val="single" w:sz="4" w:space="0" w:color="auto"/>
              <w:right w:val="single" w:sz="4" w:space="0" w:color="auto"/>
            </w:tcBorders>
            <w:shd w:val="clear" w:color="auto" w:fill="auto"/>
            <w:noWrap/>
            <w:vAlign w:val="center"/>
            <w:hideMark/>
          </w:tcPr>
          <w:p w14:paraId="5E3C8FBD"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837</w:t>
            </w:r>
          </w:p>
        </w:tc>
        <w:tc>
          <w:tcPr>
            <w:tcW w:w="1350" w:type="dxa"/>
            <w:tcBorders>
              <w:top w:val="nil"/>
              <w:left w:val="nil"/>
              <w:bottom w:val="single" w:sz="4" w:space="0" w:color="auto"/>
              <w:right w:val="single" w:sz="4" w:space="0" w:color="auto"/>
            </w:tcBorders>
            <w:shd w:val="clear" w:color="auto" w:fill="auto"/>
            <w:noWrap/>
            <w:vAlign w:val="center"/>
            <w:hideMark/>
          </w:tcPr>
          <w:p w14:paraId="54632950"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751</w:t>
            </w:r>
          </w:p>
        </w:tc>
        <w:tc>
          <w:tcPr>
            <w:tcW w:w="1350" w:type="dxa"/>
            <w:tcBorders>
              <w:top w:val="nil"/>
              <w:left w:val="nil"/>
              <w:bottom w:val="single" w:sz="4" w:space="0" w:color="auto"/>
              <w:right w:val="single" w:sz="4" w:space="0" w:color="auto"/>
            </w:tcBorders>
            <w:shd w:val="clear" w:color="auto" w:fill="auto"/>
            <w:noWrap/>
            <w:vAlign w:val="center"/>
            <w:hideMark/>
          </w:tcPr>
          <w:p w14:paraId="7B34D23A"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686</w:t>
            </w:r>
          </w:p>
        </w:tc>
      </w:tr>
      <w:tr w:rsidR="008C1F7A" w:rsidRPr="00301868" w14:paraId="7C459554" w14:textId="77777777" w:rsidTr="00CB18DF">
        <w:trPr>
          <w:trHeight w:val="4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1345E3AA"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5</w:t>
            </w:r>
          </w:p>
        </w:tc>
        <w:tc>
          <w:tcPr>
            <w:tcW w:w="4590" w:type="dxa"/>
            <w:tcBorders>
              <w:top w:val="nil"/>
              <w:left w:val="nil"/>
              <w:bottom w:val="single" w:sz="4" w:space="0" w:color="auto"/>
              <w:right w:val="single" w:sz="4" w:space="0" w:color="auto"/>
            </w:tcBorders>
            <w:shd w:val="clear" w:color="auto" w:fill="auto"/>
            <w:vAlign w:val="center"/>
            <w:hideMark/>
          </w:tcPr>
          <w:p w14:paraId="7B3BBB88" w14:textId="77777777" w:rsidR="008C1F7A" w:rsidRPr="00301868" w:rsidRDefault="008C1F7A" w:rsidP="008C1F7A">
            <w:pPr>
              <w:spacing w:after="0" w:line="240" w:lineRule="auto"/>
              <w:ind w:firstLine="0"/>
              <w:jc w:val="left"/>
              <w:rPr>
                <w:sz w:val="26"/>
                <w:szCs w:val="26"/>
                <w:lang w:val="en-US"/>
              </w:rPr>
            </w:pPr>
            <w:r w:rsidRPr="00301868">
              <w:rPr>
                <w:sz w:val="26"/>
                <w:szCs w:val="26"/>
                <w:lang w:val="en-US"/>
              </w:rPr>
              <w:t>DN có vốn Nhà nước</w:t>
            </w:r>
          </w:p>
        </w:tc>
        <w:tc>
          <w:tcPr>
            <w:tcW w:w="1378" w:type="dxa"/>
            <w:tcBorders>
              <w:top w:val="nil"/>
              <w:left w:val="nil"/>
              <w:bottom w:val="single" w:sz="4" w:space="0" w:color="auto"/>
              <w:right w:val="single" w:sz="4" w:space="0" w:color="auto"/>
            </w:tcBorders>
            <w:shd w:val="clear" w:color="auto" w:fill="auto"/>
            <w:noWrap/>
            <w:vAlign w:val="center"/>
            <w:hideMark/>
          </w:tcPr>
          <w:p w14:paraId="3D965B40"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796</w:t>
            </w:r>
          </w:p>
        </w:tc>
        <w:tc>
          <w:tcPr>
            <w:tcW w:w="1350" w:type="dxa"/>
            <w:tcBorders>
              <w:top w:val="nil"/>
              <w:left w:val="nil"/>
              <w:bottom w:val="single" w:sz="4" w:space="0" w:color="auto"/>
              <w:right w:val="single" w:sz="4" w:space="0" w:color="auto"/>
            </w:tcBorders>
            <w:shd w:val="clear" w:color="auto" w:fill="auto"/>
            <w:noWrap/>
            <w:vAlign w:val="center"/>
            <w:hideMark/>
          </w:tcPr>
          <w:p w14:paraId="4C37700E"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680</w:t>
            </w:r>
          </w:p>
        </w:tc>
        <w:tc>
          <w:tcPr>
            <w:tcW w:w="1350" w:type="dxa"/>
            <w:tcBorders>
              <w:top w:val="nil"/>
              <w:left w:val="nil"/>
              <w:bottom w:val="single" w:sz="4" w:space="0" w:color="auto"/>
              <w:right w:val="single" w:sz="4" w:space="0" w:color="auto"/>
            </w:tcBorders>
            <w:shd w:val="clear" w:color="auto" w:fill="auto"/>
            <w:noWrap/>
            <w:vAlign w:val="center"/>
            <w:hideMark/>
          </w:tcPr>
          <w:p w14:paraId="05D29FB5"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702</w:t>
            </w:r>
          </w:p>
        </w:tc>
      </w:tr>
      <w:tr w:rsidR="008C1F7A" w:rsidRPr="00301868" w14:paraId="319E50E5" w14:textId="77777777" w:rsidTr="00CB18DF">
        <w:trPr>
          <w:trHeight w:val="4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147EA8A9"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6</w:t>
            </w:r>
          </w:p>
        </w:tc>
        <w:tc>
          <w:tcPr>
            <w:tcW w:w="4590" w:type="dxa"/>
            <w:tcBorders>
              <w:top w:val="nil"/>
              <w:left w:val="nil"/>
              <w:bottom w:val="single" w:sz="4" w:space="0" w:color="auto"/>
              <w:right w:val="single" w:sz="4" w:space="0" w:color="auto"/>
            </w:tcBorders>
            <w:shd w:val="clear" w:color="auto" w:fill="auto"/>
            <w:vAlign w:val="center"/>
            <w:hideMark/>
          </w:tcPr>
          <w:p w14:paraId="5A1919A9" w14:textId="77777777" w:rsidR="008C1F7A" w:rsidRPr="00301868" w:rsidRDefault="008C1F7A" w:rsidP="008C1F7A">
            <w:pPr>
              <w:spacing w:after="0" w:line="240" w:lineRule="auto"/>
              <w:ind w:firstLine="0"/>
              <w:jc w:val="left"/>
              <w:rPr>
                <w:sz w:val="26"/>
                <w:szCs w:val="26"/>
                <w:lang w:val="en-US"/>
              </w:rPr>
            </w:pPr>
            <w:r w:rsidRPr="00301868">
              <w:rPr>
                <w:sz w:val="26"/>
                <w:szCs w:val="26"/>
                <w:lang w:val="en-US"/>
              </w:rPr>
              <w:t>Doanh nghiệp ngoài quốc doanh</w:t>
            </w:r>
          </w:p>
        </w:tc>
        <w:tc>
          <w:tcPr>
            <w:tcW w:w="1378" w:type="dxa"/>
            <w:tcBorders>
              <w:top w:val="nil"/>
              <w:left w:val="nil"/>
              <w:bottom w:val="single" w:sz="4" w:space="0" w:color="auto"/>
              <w:right w:val="single" w:sz="4" w:space="0" w:color="auto"/>
            </w:tcBorders>
            <w:shd w:val="clear" w:color="auto" w:fill="auto"/>
            <w:noWrap/>
            <w:vAlign w:val="center"/>
            <w:hideMark/>
          </w:tcPr>
          <w:p w14:paraId="0FFA4010"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3.712</w:t>
            </w:r>
          </w:p>
        </w:tc>
        <w:tc>
          <w:tcPr>
            <w:tcW w:w="1350" w:type="dxa"/>
            <w:tcBorders>
              <w:top w:val="nil"/>
              <w:left w:val="nil"/>
              <w:bottom w:val="single" w:sz="4" w:space="0" w:color="auto"/>
              <w:right w:val="single" w:sz="4" w:space="0" w:color="auto"/>
            </w:tcBorders>
            <w:shd w:val="clear" w:color="auto" w:fill="auto"/>
            <w:noWrap/>
            <w:vAlign w:val="center"/>
            <w:hideMark/>
          </w:tcPr>
          <w:p w14:paraId="0E786D39"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3.583</w:t>
            </w:r>
          </w:p>
        </w:tc>
        <w:tc>
          <w:tcPr>
            <w:tcW w:w="1350" w:type="dxa"/>
            <w:tcBorders>
              <w:top w:val="nil"/>
              <w:left w:val="nil"/>
              <w:bottom w:val="single" w:sz="4" w:space="0" w:color="auto"/>
              <w:right w:val="single" w:sz="4" w:space="0" w:color="auto"/>
            </w:tcBorders>
            <w:shd w:val="clear" w:color="auto" w:fill="auto"/>
            <w:noWrap/>
            <w:vAlign w:val="center"/>
            <w:hideMark/>
          </w:tcPr>
          <w:p w14:paraId="3D02DB28"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3.699</w:t>
            </w:r>
          </w:p>
        </w:tc>
      </w:tr>
      <w:tr w:rsidR="008C1F7A" w:rsidRPr="00301868" w14:paraId="6452222F" w14:textId="77777777" w:rsidTr="00CB18DF">
        <w:trPr>
          <w:trHeight w:val="4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21921FFC"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7</w:t>
            </w:r>
          </w:p>
        </w:tc>
        <w:tc>
          <w:tcPr>
            <w:tcW w:w="4590" w:type="dxa"/>
            <w:tcBorders>
              <w:top w:val="nil"/>
              <w:left w:val="nil"/>
              <w:bottom w:val="single" w:sz="4" w:space="0" w:color="auto"/>
              <w:right w:val="single" w:sz="4" w:space="0" w:color="auto"/>
            </w:tcBorders>
            <w:shd w:val="clear" w:color="auto" w:fill="auto"/>
            <w:vAlign w:val="center"/>
            <w:hideMark/>
          </w:tcPr>
          <w:p w14:paraId="7DE1C243" w14:textId="77777777" w:rsidR="008C1F7A" w:rsidRPr="00301868" w:rsidRDefault="008C1F7A" w:rsidP="008C1F7A">
            <w:pPr>
              <w:spacing w:after="0" w:line="240" w:lineRule="auto"/>
              <w:ind w:firstLine="0"/>
              <w:jc w:val="left"/>
              <w:rPr>
                <w:sz w:val="26"/>
                <w:szCs w:val="26"/>
                <w:lang w:val="en-US"/>
              </w:rPr>
            </w:pPr>
            <w:r w:rsidRPr="00301868">
              <w:rPr>
                <w:sz w:val="26"/>
                <w:szCs w:val="26"/>
                <w:lang w:val="en-US"/>
              </w:rPr>
              <w:t>Lao động có thời hạn ở nước ngoài</w:t>
            </w:r>
          </w:p>
        </w:tc>
        <w:tc>
          <w:tcPr>
            <w:tcW w:w="1378" w:type="dxa"/>
            <w:tcBorders>
              <w:top w:val="nil"/>
              <w:left w:val="nil"/>
              <w:bottom w:val="single" w:sz="4" w:space="0" w:color="auto"/>
              <w:right w:val="single" w:sz="4" w:space="0" w:color="auto"/>
            </w:tcBorders>
            <w:shd w:val="clear" w:color="auto" w:fill="auto"/>
            <w:noWrap/>
            <w:vAlign w:val="center"/>
            <w:hideMark/>
          </w:tcPr>
          <w:p w14:paraId="58E67BA0" w14:textId="77777777" w:rsidR="008C1F7A" w:rsidRPr="00301868" w:rsidRDefault="008C1F7A" w:rsidP="008C1F7A">
            <w:pPr>
              <w:spacing w:after="0" w:line="240" w:lineRule="auto"/>
              <w:ind w:firstLine="0"/>
              <w:jc w:val="center"/>
              <w:rPr>
                <w:sz w:val="26"/>
                <w:szCs w:val="26"/>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14:paraId="1D21898F"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0</w:t>
            </w:r>
          </w:p>
        </w:tc>
        <w:tc>
          <w:tcPr>
            <w:tcW w:w="1350" w:type="dxa"/>
            <w:tcBorders>
              <w:top w:val="nil"/>
              <w:left w:val="nil"/>
              <w:bottom w:val="single" w:sz="4" w:space="0" w:color="auto"/>
              <w:right w:val="single" w:sz="4" w:space="0" w:color="auto"/>
            </w:tcBorders>
            <w:shd w:val="clear" w:color="auto" w:fill="auto"/>
            <w:noWrap/>
            <w:vAlign w:val="center"/>
            <w:hideMark/>
          </w:tcPr>
          <w:p w14:paraId="2AA70406"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4</w:t>
            </w:r>
          </w:p>
        </w:tc>
      </w:tr>
      <w:tr w:rsidR="008C1F7A" w:rsidRPr="00301868" w14:paraId="576C87F9" w14:textId="77777777" w:rsidTr="00CB18DF">
        <w:trPr>
          <w:trHeight w:val="4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3DF65445"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8</w:t>
            </w:r>
          </w:p>
        </w:tc>
        <w:tc>
          <w:tcPr>
            <w:tcW w:w="4590" w:type="dxa"/>
            <w:tcBorders>
              <w:top w:val="nil"/>
              <w:left w:val="nil"/>
              <w:bottom w:val="single" w:sz="4" w:space="0" w:color="auto"/>
              <w:right w:val="single" w:sz="4" w:space="0" w:color="auto"/>
            </w:tcBorders>
            <w:shd w:val="clear" w:color="auto" w:fill="auto"/>
            <w:vAlign w:val="center"/>
            <w:hideMark/>
          </w:tcPr>
          <w:p w14:paraId="2E0BA3D3" w14:textId="77777777" w:rsidR="008C1F7A" w:rsidRPr="00301868" w:rsidRDefault="008C1F7A" w:rsidP="008C1F7A">
            <w:pPr>
              <w:spacing w:after="0" w:line="240" w:lineRule="auto"/>
              <w:ind w:firstLine="0"/>
              <w:jc w:val="left"/>
              <w:rPr>
                <w:sz w:val="26"/>
                <w:szCs w:val="26"/>
                <w:lang w:val="en-US"/>
              </w:rPr>
            </w:pPr>
            <w:r w:rsidRPr="00301868">
              <w:rPr>
                <w:sz w:val="26"/>
                <w:szCs w:val="26"/>
                <w:lang w:val="en-US"/>
              </w:rPr>
              <w:t>Cán bộ không chuyên trách cấp xã</w:t>
            </w:r>
          </w:p>
        </w:tc>
        <w:tc>
          <w:tcPr>
            <w:tcW w:w="1378" w:type="dxa"/>
            <w:tcBorders>
              <w:top w:val="nil"/>
              <w:left w:val="nil"/>
              <w:bottom w:val="single" w:sz="4" w:space="0" w:color="auto"/>
              <w:right w:val="single" w:sz="4" w:space="0" w:color="auto"/>
            </w:tcBorders>
            <w:shd w:val="clear" w:color="auto" w:fill="auto"/>
            <w:noWrap/>
            <w:vAlign w:val="center"/>
            <w:hideMark/>
          </w:tcPr>
          <w:p w14:paraId="0F989771" w14:textId="77777777" w:rsidR="008C1F7A" w:rsidRPr="00301868" w:rsidRDefault="008C1F7A" w:rsidP="008C1F7A">
            <w:pPr>
              <w:spacing w:after="0" w:line="240" w:lineRule="auto"/>
              <w:ind w:firstLine="0"/>
              <w:jc w:val="center"/>
              <w:rPr>
                <w:sz w:val="26"/>
                <w:szCs w:val="26"/>
                <w:lang w:val="en-US"/>
              </w:rPr>
            </w:pPr>
          </w:p>
        </w:tc>
        <w:tc>
          <w:tcPr>
            <w:tcW w:w="1350" w:type="dxa"/>
            <w:tcBorders>
              <w:top w:val="nil"/>
              <w:left w:val="nil"/>
              <w:bottom w:val="single" w:sz="4" w:space="0" w:color="auto"/>
              <w:right w:val="single" w:sz="4" w:space="0" w:color="auto"/>
            </w:tcBorders>
            <w:shd w:val="clear" w:color="auto" w:fill="auto"/>
            <w:noWrap/>
            <w:vAlign w:val="center"/>
            <w:hideMark/>
          </w:tcPr>
          <w:p w14:paraId="6BF68FF5"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0</w:t>
            </w:r>
          </w:p>
        </w:tc>
        <w:tc>
          <w:tcPr>
            <w:tcW w:w="1350" w:type="dxa"/>
            <w:tcBorders>
              <w:top w:val="nil"/>
              <w:left w:val="nil"/>
              <w:bottom w:val="single" w:sz="4" w:space="0" w:color="auto"/>
              <w:right w:val="single" w:sz="4" w:space="0" w:color="auto"/>
            </w:tcBorders>
            <w:shd w:val="clear" w:color="auto" w:fill="auto"/>
            <w:noWrap/>
            <w:vAlign w:val="center"/>
            <w:hideMark/>
          </w:tcPr>
          <w:p w14:paraId="6CFD95E6"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5</w:t>
            </w:r>
          </w:p>
        </w:tc>
      </w:tr>
      <w:tr w:rsidR="008C1F7A" w:rsidRPr="00301868" w14:paraId="71759DAA" w14:textId="77777777" w:rsidTr="00CB18DF">
        <w:trPr>
          <w:trHeight w:val="4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79A93930"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10</w:t>
            </w:r>
          </w:p>
        </w:tc>
        <w:tc>
          <w:tcPr>
            <w:tcW w:w="4590" w:type="dxa"/>
            <w:tcBorders>
              <w:top w:val="nil"/>
              <w:left w:val="nil"/>
              <w:bottom w:val="single" w:sz="4" w:space="0" w:color="auto"/>
              <w:right w:val="single" w:sz="4" w:space="0" w:color="auto"/>
            </w:tcBorders>
            <w:shd w:val="clear" w:color="auto" w:fill="auto"/>
            <w:noWrap/>
            <w:vAlign w:val="center"/>
            <w:hideMark/>
          </w:tcPr>
          <w:p w14:paraId="6C03EF8E" w14:textId="77777777" w:rsidR="008C1F7A" w:rsidRPr="00301868" w:rsidRDefault="008C1F7A" w:rsidP="008C1F7A">
            <w:pPr>
              <w:spacing w:after="0" w:line="240" w:lineRule="auto"/>
              <w:ind w:firstLine="0"/>
              <w:jc w:val="left"/>
              <w:rPr>
                <w:sz w:val="26"/>
                <w:szCs w:val="26"/>
                <w:lang w:val="en-US"/>
              </w:rPr>
            </w:pPr>
            <w:r w:rsidRPr="00301868">
              <w:rPr>
                <w:sz w:val="26"/>
                <w:szCs w:val="26"/>
                <w:lang w:val="en-US"/>
              </w:rPr>
              <w:t>Hợp tác xã</w:t>
            </w:r>
          </w:p>
        </w:tc>
        <w:tc>
          <w:tcPr>
            <w:tcW w:w="1378" w:type="dxa"/>
            <w:tcBorders>
              <w:top w:val="nil"/>
              <w:left w:val="nil"/>
              <w:bottom w:val="single" w:sz="4" w:space="0" w:color="auto"/>
              <w:right w:val="single" w:sz="4" w:space="0" w:color="auto"/>
            </w:tcBorders>
            <w:shd w:val="clear" w:color="auto" w:fill="auto"/>
            <w:noWrap/>
            <w:vAlign w:val="center"/>
            <w:hideMark/>
          </w:tcPr>
          <w:p w14:paraId="6E0A0402"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51</w:t>
            </w:r>
          </w:p>
        </w:tc>
        <w:tc>
          <w:tcPr>
            <w:tcW w:w="1350" w:type="dxa"/>
            <w:tcBorders>
              <w:top w:val="nil"/>
              <w:left w:val="nil"/>
              <w:bottom w:val="single" w:sz="4" w:space="0" w:color="auto"/>
              <w:right w:val="single" w:sz="4" w:space="0" w:color="auto"/>
            </w:tcBorders>
            <w:shd w:val="clear" w:color="auto" w:fill="auto"/>
            <w:noWrap/>
            <w:vAlign w:val="center"/>
            <w:hideMark/>
          </w:tcPr>
          <w:p w14:paraId="1148B073"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34</w:t>
            </w:r>
          </w:p>
        </w:tc>
        <w:tc>
          <w:tcPr>
            <w:tcW w:w="1350" w:type="dxa"/>
            <w:tcBorders>
              <w:top w:val="nil"/>
              <w:left w:val="nil"/>
              <w:bottom w:val="single" w:sz="4" w:space="0" w:color="auto"/>
              <w:right w:val="single" w:sz="4" w:space="0" w:color="auto"/>
            </w:tcBorders>
            <w:shd w:val="clear" w:color="auto" w:fill="auto"/>
            <w:noWrap/>
            <w:vAlign w:val="center"/>
            <w:hideMark/>
          </w:tcPr>
          <w:p w14:paraId="2CA5D8A9"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26</w:t>
            </w:r>
          </w:p>
        </w:tc>
      </w:tr>
      <w:tr w:rsidR="008C1F7A" w:rsidRPr="00301868" w14:paraId="762DF2DF" w14:textId="77777777" w:rsidTr="00CB18DF">
        <w:trPr>
          <w:trHeight w:val="465"/>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14:paraId="482E6D88"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11</w:t>
            </w:r>
          </w:p>
        </w:tc>
        <w:tc>
          <w:tcPr>
            <w:tcW w:w="4590" w:type="dxa"/>
            <w:tcBorders>
              <w:top w:val="nil"/>
              <w:left w:val="nil"/>
              <w:bottom w:val="single" w:sz="4" w:space="0" w:color="auto"/>
              <w:right w:val="single" w:sz="4" w:space="0" w:color="auto"/>
            </w:tcBorders>
            <w:shd w:val="clear" w:color="auto" w:fill="auto"/>
            <w:vAlign w:val="center"/>
            <w:hideMark/>
          </w:tcPr>
          <w:p w14:paraId="382CCE1A" w14:textId="77777777" w:rsidR="008C1F7A" w:rsidRPr="00301868" w:rsidRDefault="008C1F7A" w:rsidP="008C1F7A">
            <w:pPr>
              <w:spacing w:after="0" w:line="240" w:lineRule="auto"/>
              <w:ind w:firstLine="0"/>
              <w:jc w:val="left"/>
              <w:rPr>
                <w:sz w:val="26"/>
                <w:szCs w:val="26"/>
                <w:lang w:val="en-US"/>
              </w:rPr>
            </w:pPr>
            <w:r w:rsidRPr="00301868">
              <w:rPr>
                <w:sz w:val="26"/>
                <w:szCs w:val="26"/>
                <w:lang w:val="en-US"/>
              </w:rPr>
              <w:t>Hội nghề nghiệp, tổ hợp tác</w:t>
            </w:r>
          </w:p>
        </w:tc>
        <w:tc>
          <w:tcPr>
            <w:tcW w:w="1378" w:type="dxa"/>
            <w:tcBorders>
              <w:top w:val="nil"/>
              <w:left w:val="nil"/>
              <w:bottom w:val="single" w:sz="4" w:space="0" w:color="auto"/>
              <w:right w:val="single" w:sz="4" w:space="0" w:color="auto"/>
            </w:tcBorders>
            <w:shd w:val="clear" w:color="auto" w:fill="auto"/>
            <w:noWrap/>
            <w:vAlign w:val="center"/>
            <w:hideMark/>
          </w:tcPr>
          <w:p w14:paraId="29EB912A"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12</w:t>
            </w:r>
          </w:p>
        </w:tc>
        <w:tc>
          <w:tcPr>
            <w:tcW w:w="1350" w:type="dxa"/>
            <w:tcBorders>
              <w:top w:val="nil"/>
              <w:left w:val="nil"/>
              <w:bottom w:val="single" w:sz="4" w:space="0" w:color="auto"/>
              <w:right w:val="single" w:sz="4" w:space="0" w:color="auto"/>
            </w:tcBorders>
            <w:shd w:val="clear" w:color="auto" w:fill="auto"/>
            <w:noWrap/>
            <w:vAlign w:val="center"/>
            <w:hideMark/>
          </w:tcPr>
          <w:p w14:paraId="4D2CCA4E"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13</w:t>
            </w:r>
          </w:p>
        </w:tc>
        <w:tc>
          <w:tcPr>
            <w:tcW w:w="1350" w:type="dxa"/>
            <w:tcBorders>
              <w:top w:val="nil"/>
              <w:left w:val="nil"/>
              <w:bottom w:val="single" w:sz="4" w:space="0" w:color="auto"/>
              <w:right w:val="single" w:sz="4" w:space="0" w:color="auto"/>
            </w:tcBorders>
            <w:shd w:val="clear" w:color="auto" w:fill="auto"/>
            <w:noWrap/>
            <w:vAlign w:val="center"/>
            <w:hideMark/>
          </w:tcPr>
          <w:p w14:paraId="4A59E834" w14:textId="77777777" w:rsidR="008C1F7A" w:rsidRPr="00301868" w:rsidRDefault="008C1F7A" w:rsidP="008C1F7A">
            <w:pPr>
              <w:spacing w:after="0" w:line="240" w:lineRule="auto"/>
              <w:ind w:firstLine="0"/>
              <w:jc w:val="center"/>
              <w:rPr>
                <w:sz w:val="26"/>
                <w:szCs w:val="26"/>
                <w:lang w:val="en-US"/>
              </w:rPr>
            </w:pPr>
            <w:r w:rsidRPr="00301868">
              <w:rPr>
                <w:sz w:val="26"/>
                <w:szCs w:val="26"/>
                <w:lang w:val="en-US"/>
              </w:rPr>
              <w:t>10</w:t>
            </w:r>
          </w:p>
        </w:tc>
      </w:tr>
    </w:tbl>
    <w:p w14:paraId="5BCB4900" w14:textId="77777777" w:rsidR="008C1F7A" w:rsidRPr="00301868" w:rsidRDefault="008C1F7A" w:rsidP="008C1F7A">
      <w:pPr>
        <w:spacing w:before="60" w:after="0" w:line="240" w:lineRule="auto"/>
        <w:ind w:firstLine="0"/>
        <w:jc w:val="left"/>
        <w:rPr>
          <w:rFonts w:eastAsia="Calibri"/>
          <w:sz w:val="24"/>
          <w:szCs w:val="24"/>
        </w:rPr>
      </w:pPr>
      <w:r w:rsidRPr="00301868">
        <w:rPr>
          <w:rFonts w:eastAsia="Calibri"/>
          <w:i/>
          <w:sz w:val="24"/>
          <w:szCs w:val="24"/>
        </w:rPr>
        <w:t xml:space="preserve">Nguồn: </w:t>
      </w:r>
      <w:r w:rsidRPr="00301868">
        <w:rPr>
          <w:rFonts w:eastAsia="Calibri"/>
          <w:i/>
          <w:sz w:val="24"/>
          <w:szCs w:val="24"/>
        </w:rPr>
        <w:tab/>
      </w:r>
      <w:r w:rsidRPr="00301868">
        <w:rPr>
          <w:rFonts w:eastAsia="Calibri"/>
          <w:sz w:val="24"/>
          <w:szCs w:val="24"/>
        </w:rPr>
        <w:t>Báo cáo của Bảo hiểm xã hội Việt Nam</w:t>
      </w:r>
    </w:p>
    <w:p w14:paraId="20BC65BC" w14:textId="77777777" w:rsidR="008C1F7A" w:rsidRPr="00301868" w:rsidRDefault="008C1F7A" w:rsidP="008C1F7A">
      <w:pPr>
        <w:spacing w:after="0" w:line="240" w:lineRule="auto"/>
        <w:ind w:firstLine="0"/>
        <w:rPr>
          <w:rFonts w:eastAsia="Calibri"/>
        </w:rPr>
      </w:pPr>
    </w:p>
    <w:p w14:paraId="7697A3E0" w14:textId="77777777" w:rsidR="008C1F7A" w:rsidRPr="00301868" w:rsidRDefault="008C1F7A" w:rsidP="001875BF">
      <w:pPr>
        <w:rPr>
          <w:rFonts w:eastAsia="Calibri"/>
        </w:rPr>
      </w:pPr>
      <w:r w:rsidRPr="00301868">
        <w:rPr>
          <w:rFonts w:eastAsia="Calibri"/>
        </w:rPr>
        <w:t>Để giải quyết tình trạng nợ đóng BHXH, ngành BHXH đã nỗ lực thực hiện nhiều giải pháp để thu hồi nợ, bao gồm:</w:t>
      </w:r>
    </w:p>
    <w:p w14:paraId="1294E088" w14:textId="77777777" w:rsidR="008C1F7A" w:rsidRPr="00301868" w:rsidRDefault="008C1F7A" w:rsidP="001875BF">
      <w:pPr>
        <w:rPr>
          <w:rFonts w:eastAsia="Calibri"/>
        </w:rPr>
      </w:pPr>
      <w:r w:rsidRPr="00301868">
        <w:rPr>
          <w:rFonts w:eastAsia="Calibri"/>
        </w:rPr>
        <w:t xml:space="preserve">- Đôn đốc các đơn vị SDLĐ ngay khi đơn vị có dấu hiệu chậm đóng; công khai danh sách các doanh nghiệp nợ BHXH trên các phương tiện thông tin đại chúng từ Trung ương đến địa phương. </w:t>
      </w:r>
    </w:p>
    <w:p w14:paraId="018E1B56" w14:textId="77777777" w:rsidR="008C1F7A" w:rsidRPr="00301868" w:rsidRDefault="008C1F7A" w:rsidP="001875BF">
      <w:pPr>
        <w:rPr>
          <w:rFonts w:eastAsia="Calibri"/>
        </w:rPr>
      </w:pPr>
      <w:r w:rsidRPr="00301868">
        <w:rPr>
          <w:rFonts w:eastAsia="Calibri"/>
        </w:rPr>
        <w:t>- Tăng cường kiểm tra, thanh tra theo kế hoạch, thanh tra đột xuất nhằm phát hiện kịp thời tình trạng trốn đóng và cương quyết xử phạt hành vi trốn đóng, nợ đóng BHXH.</w:t>
      </w:r>
    </w:p>
    <w:p w14:paraId="056E2A36" w14:textId="77777777" w:rsidR="008C1F7A" w:rsidRPr="00301868" w:rsidRDefault="008C1F7A" w:rsidP="001875BF">
      <w:pPr>
        <w:rPr>
          <w:rFonts w:eastAsia="Calibri"/>
        </w:rPr>
      </w:pPr>
      <w:r w:rsidRPr="00301868">
        <w:rPr>
          <w:rFonts w:eastAsia="Calibri"/>
        </w:rPr>
        <w:t xml:space="preserve">- Chia sẻ thông tin về nợ đóng BHXH của doanh nghiệp với cơ quan Thuế và đề nghị cơ quan Thuế, cơ quan thanh tra địa phương phối hợp thực hiện các cuộc thanh tra liên ngành. Từ năm 2019, thực hiện quản lý thanh tra chuyên ngành đóng bằng phần mềm, tự động cảnh báo, ban hành quyết định thanh tra đột xuất đối với những đơn vị nợ đóng BHXH. </w:t>
      </w:r>
    </w:p>
    <w:p w14:paraId="78FBA3F6" w14:textId="77777777" w:rsidR="008C1F7A" w:rsidRPr="00301868" w:rsidRDefault="008C1F7A" w:rsidP="001875BF">
      <w:pPr>
        <w:rPr>
          <w:rFonts w:eastAsia="Calibri"/>
        </w:rPr>
      </w:pPr>
      <w:r w:rsidRPr="00301868">
        <w:rPr>
          <w:rFonts w:eastAsia="Calibri"/>
        </w:rPr>
        <w:t>- Chuyển hồ sơ những đơn vị không thực hiện Quyết định, Kết luận thanh tra đến cơ quan Công an để kiến nghị điều tra, khởi tố theo quy định của Bộ luật Hình sự (đã chuyển 14 hồ sơ các đơn vị trốn đóng BHXH sang cơ quan Công an để xử lý theo quy định của pháp luật).</w:t>
      </w:r>
    </w:p>
    <w:p w14:paraId="44513E49" w14:textId="7D1CB6BD" w:rsidR="008C1F7A" w:rsidRPr="00301868" w:rsidRDefault="008C1F7A" w:rsidP="001875BF">
      <w:pPr>
        <w:pStyle w:val="Heading3"/>
        <w:rPr>
          <w:rFonts w:eastAsia="Calibri"/>
        </w:rPr>
      </w:pPr>
      <w:bookmarkStart w:id="25" w:name="_Toc63186694"/>
      <w:r w:rsidRPr="00301868">
        <w:rPr>
          <w:rFonts w:eastAsia="Calibri"/>
        </w:rPr>
        <w:lastRenderedPageBreak/>
        <w:t>2.2</w:t>
      </w:r>
      <w:r w:rsidR="001875BF" w:rsidRPr="00301868">
        <w:rPr>
          <w:rFonts w:eastAsia="Calibri"/>
        </w:rPr>
        <w:t>.</w:t>
      </w:r>
      <w:r w:rsidRPr="00301868">
        <w:rPr>
          <w:rFonts w:eastAsia="Calibri"/>
        </w:rPr>
        <w:t xml:space="preserve"> Những hạn chế, vướng mắc trong công tác thu bảo hiểm xã hội</w:t>
      </w:r>
      <w:bookmarkEnd w:id="25"/>
    </w:p>
    <w:p w14:paraId="5D97F095" w14:textId="77777777" w:rsidR="008C1F7A" w:rsidRPr="00301868" w:rsidRDefault="008C1F7A" w:rsidP="001875BF">
      <w:pPr>
        <w:rPr>
          <w:rFonts w:eastAsia="Calibri"/>
        </w:rPr>
      </w:pPr>
      <w:r w:rsidRPr="00301868">
        <w:rPr>
          <w:rFonts w:eastAsia="Calibri"/>
        </w:rPr>
        <w:t>- Ý thức chấp hành pháp luật của một số chủ sử dụng lao động chưa nghiêm, nhất là khu vực ngoài nhà nước. Nhiều doanh nghiệp và cơ sở sản xuất, kinh doanh chưa có tổ chức công đoàn hoặc tổ chức công đoàn ở đó chưa đấu tranh mạnh mẽ với người sử dụng lao động để thực hiện vai trò đại diện, bảo vệ quyền và lợi ích của người lao động.</w:t>
      </w:r>
    </w:p>
    <w:p w14:paraId="67F4C6D5" w14:textId="77777777" w:rsidR="008C1F7A" w:rsidRPr="00301868" w:rsidRDefault="008C1F7A" w:rsidP="001875BF">
      <w:pPr>
        <w:rPr>
          <w:rFonts w:eastAsia="Calibri"/>
        </w:rPr>
      </w:pPr>
      <w:r w:rsidRPr="00301868">
        <w:rPr>
          <w:rFonts w:eastAsia="Calibri"/>
        </w:rPr>
        <w:t>- Người lao động cần biết cụ thể và rõ ràng về tình hình người sử dụng lao động đóng BHXH cho mình. Tuy nhiên thông tin về tình hình đóng BHXH không được cập nhật thường xuyên do đó người lao động không thể phản ánh kịp thời với các cơ quan chức năng để xử lý mà chỉ đến khi người lao động đề nghị hưởng chế độ BHXH do rủi ro mất thu nhập hoặc mất việc làm, tình trạng này mới được phát hiện.</w:t>
      </w:r>
    </w:p>
    <w:p w14:paraId="3304CE33" w14:textId="446FE1CA" w:rsidR="008C1F7A" w:rsidRPr="00301868" w:rsidRDefault="008C1F7A" w:rsidP="001875BF">
      <w:pPr>
        <w:rPr>
          <w:rFonts w:eastAsia="Calibri"/>
        </w:rPr>
      </w:pPr>
      <w:r w:rsidRPr="00301868">
        <w:rPr>
          <w:rFonts w:eastAsia="Calibri"/>
        </w:rPr>
        <w:t xml:space="preserve">- Các thủ tục xử lý vấn đề nợ đọng BHXH còn nhiều bất cập, ví dụ mặc dù đã có Thông tư liên tịch số 03/2008/TTLT-LĐTBXH-BTC-NHNN ngày 18 tháng 2 năm 2008 của Bộ Lao động </w:t>
      </w:r>
      <w:r w:rsidR="00CB18DF" w:rsidRPr="00301868">
        <w:rPr>
          <w:rFonts w:eastAsia="Calibri"/>
        </w:rPr>
        <w:t>-</w:t>
      </w:r>
      <w:r w:rsidRPr="00301868">
        <w:rPr>
          <w:rFonts w:eastAsia="Calibri"/>
        </w:rPr>
        <w:t xml:space="preserve"> Thương binh và Xã hội, Bộ Tài chính và Ngân hàng Nhà nước, nhưng các ngân hàng vẫn chưa thực hiện việc trích tiền từ tài khoản của doanh nghiệp nợ BHXH chuyển cho cơ quan BHXH.  </w:t>
      </w:r>
    </w:p>
    <w:p w14:paraId="49B1E518" w14:textId="77777777" w:rsidR="008C1F7A" w:rsidRPr="00301868" w:rsidRDefault="008C1F7A" w:rsidP="001875BF">
      <w:pPr>
        <w:rPr>
          <w:rFonts w:eastAsia="Calibri"/>
        </w:rPr>
      </w:pPr>
      <w:r w:rsidRPr="00301868">
        <w:rPr>
          <w:rFonts w:eastAsia="Calibri"/>
        </w:rPr>
        <w:t>- Theo Luật BHXH 2014, tổ chức công đoàn có quyền khởi kiện ra Tòa án đối với hành vi vi phạm pháp luật về BHXH gây ảnh hưởng đến quyền và lợi ích hợp pháp của người lao động, tập thể người lao động, trong đó có vấn đề nợ BHXH. Tuy nhiên, do những bất cập trong quy trình tố tụng nên việc khởi kiện của tổ chức công đoàn gặp nhiều hạn chế.</w:t>
      </w:r>
    </w:p>
    <w:p w14:paraId="71159BFA" w14:textId="77777777" w:rsidR="008C1F7A" w:rsidRPr="00301868" w:rsidRDefault="008C1F7A" w:rsidP="001875BF">
      <w:pPr>
        <w:pStyle w:val="Heading3"/>
        <w:rPr>
          <w:rFonts w:eastAsia="Calibri"/>
        </w:rPr>
      </w:pPr>
      <w:bookmarkStart w:id="26" w:name="_Toc63186695"/>
      <w:r w:rsidRPr="00301868">
        <w:rPr>
          <w:rFonts w:eastAsia="Calibri"/>
        </w:rPr>
        <w:t>2.3 Các giải pháp để thu hiệu quả các khoản đóng bảo hiểm xã hội</w:t>
      </w:r>
      <w:bookmarkEnd w:id="26"/>
      <w:r w:rsidRPr="00301868">
        <w:rPr>
          <w:rFonts w:eastAsia="Calibri"/>
        </w:rPr>
        <w:t xml:space="preserve"> </w:t>
      </w:r>
    </w:p>
    <w:p w14:paraId="5BA3AF3D" w14:textId="77777777" w:rsidR="008C1F7A" w:rsidRPr="00301868" w:rsidRDefault="008C1F7A" w:rsidP="001875BF">
      <w:pPr>
        <w:rPr>
          <w:rFonts w:eastAsia="Calibri"/>
        </w:rPr>
      </w:pPr>
      <w:r w:rsidRPr="00301868">
        <w:rPr>
          <w:rFonts w:eastAsia="Calibri"/>
        </w:rPr>
        <w:t>Những khía cạnh pháp lý sau đây cần được xem xét, bổ sung:</w:t>
      </w:r>
    </w:p>
    <w:p w14:paraId="11E8A503" w14:textId="77777777" w:rsidR="008C1F7A" w:rsidRPr="00301868" w:rsidRDefault="008C1F7A" w:rsidP="001875BF">
      <w:pPr>
        <w:rPr>
          <w:rFonts w:eastAsia="Calibri"/>
        </w:rPr>
      </w:pPr>
      <w:r w:rsidRPr="00301868">
        <w:rPr>
          <w:rFonts w:eastAsia="Calibri"/>
        </w:rPr>
        <w:t xml:space="preserve">- Trên cơ sở quy định về hiện đại hóa quản lý BHXH và trách nhiệm của cơ quan BHXH về ứng dụng công nghệ thông tin trong quản lý BHXH cần có quy định rõ trách nhiệm của cơ quan BHXH và của người sử dụng lao động trong cập nhật hàng quý thông tin đóng BHXH cho người lao động. </w:t>
      </w:r>
    </w:p>
    <w:p w14:paraId="507AB6AA" w14:textId="77777777" w:rsidR="008C1F7A" w:rsidRPr="00301868" w:rsidRDefault="008C1F7A" w:rsidP="001875BF">
      <w:pPr>
        <w:rPr>
          <w:rFonts w:eastAsia="Calibri"/>
        </w:rPr>
      </w:pPr>
      <w:r w:rsidRPr="00301868">
        <w:rPr>
          <w:rFonts w:eastAsia="Calibri"/>
        </w:rPr>
        <w:t xml:space="preserve">- Quy định rõ các thủ tục và trách nhiệm của các cơ quan có liên quan trong xử lý vấn đề nợ đọng BHXH.  </w:t>
      </w:r>
    </w:p>
    <w:p w14:paraId="3BD96397" w14:textId="77777777" w:rsidR="008C1F7A" w:rsidRPr="00301868" w:rsidRDefault="008C1F7A" w:rsidP="001875BF">
      <w:pPr>
        <w:rPr>
          <w:rFonts w:eastAsia="Calibri"/>
        </w:rPr>
      </w:pPr>
      <w:r w:rsidRPr="00301868">
        <w:rPr>
          <w:rFonts w:eastAsia="Calibri"/>
        </w:rPr>
        <w:t>- Xem xét và hoàn thiện quy trình tố tụng việc khởi kiện ra Tòa án của tổ chức công đoàn đối với hành vi vi phạm pháp luật về BHXH gây ảnh hưởng đến quyền và lợi ích hợp pháp của người lao động, tập thể người lao động, trong đó có vấn đề nợ BHXH.</w:t>
      </w:r>
    </w:p>
    <w:p w14:paraId="12B8F92D" w14:textId="1385116F" w:rsidR="008C1F7A" w:rsidRPr="00301868" w:rsidRDefault="008C1F7A" w:rsidP="001875BF">
      <w:pPr>
        <w:pStyle w:val="Heading2"/>
        <w:rPr>
          <w:rFonts w:eastAsia="Calibri"/>
        </w:rPr>
      </w:pPr>
      <w:bookmarkStart w:id="27" w:name="_Toc63186696"/>
      <w:r w:rsidRPr="00301868">
        <w:rPr>
          <w:rFonts w:eastAsia="Calibri"/>
        </w:rPr>
        <w:lastRenderedPageBreak/>
        <w:t>III. GIẢI QUYẾT VÀ CHI TRẢ CÁC CHẾ ĐỘ BHXH GIAI ĐOẠN 2016</w:t>
      </w:r>
      <w:r w:rsidR="00CB18DF" w:rsidRPr="00301868">
        <w:rPr>
          <w:rFonts w:eastAsia="Calibri"/>
        </w:rPr>
        <w:t>-</w:t>
      </w:r>
      <w:r w:rsidRPr="00301868">
        <w:rPr>
          <w:rFonts w:eastAsia="Calibri"/>
        </w:rPr>
        <w:t>2019</w:t>
      </w:r>
      <w:bookmarkEnd w:id="27"/>
    </w:p>
    <w:p w14:paraId="60D8FE61" w14:textId="4EAEE45A" w:rsidR="008C1F7A" w:rsidRPr="00301868" w:rsidRDefault="008C1F7A" w:rsidP="001875BF">
      <w:pPr>
        <w:pStyle w:val="Heading3"/>
        <w:rPr>
          <w:rFonts w:eastAsia="Calibri"/>
        </w:rPr>
      </w:pPr>
      <w:bookmarkStart w:id="28" w:name="_Toc63186697"/>
      <w:r w:rsidRPr="00301868">
        <w:rPr>
          <w:rFonts w:eastAsia="Calibri"/>
        </w:rPr>
        <w:t>3.1</w:t>
      </w:r>
      <w:r w:rsidR="001875BF" w:rsidRPr="00301868">
        <w:rPr>
          <w:rFonts w:eastAsia="Calibri"/>
        </w:rPr>
        <w:t xml:space="preserve">. </w:t>
      </w:r>
      <w:r w:rsidRPr="00301868">
        <w:rPr>
          <w:rFonts w:eastAsia="Calibri"/>
        </w:rPr>
        <w:t>Tình hình giải quyết và chi trả các chế độ</w:t>
      </w:r>
      <w:bookmarkEnd w:id="28"/>
      <w:r w:rsidRPr="00301868">
        <w:rPr>
          <w:rFonts w:eastAsia="Calibri"/>
        </w:rPr>
        <w:t xml:space="preserve"> </w:t>
      </w:r>
    </w:p>
    <w:p w14:paraId="4737F7CE" w14:textId="77777777" w:rsidR="008C1F7A" w:rsidRPr="00301868" w:rsidRDefault="008C1F7A" w:rsidP="001875BF">
      <w:pPr>
        <w:rPr>
          <w:rFonts w:eastAsia="Calibri"/>
        </w:rPr>
      </w:pPr>
      <w:r w:rsidRPr="00301868">
        <w:rPr>
          <w:rFonts w:eastAsia="Calibri"/>
        </w:rPr>
        <w:t xml:space="preserve">Nhìn chung tình hình giải quyết và chi trả chế độ BHXH cho người thụ hưởng được đảm bảo đúng thời gian và mức hưởng, tạo được sự yên tâm đối với người lao động. </w:t>
      </w:r>
    </w:p>
    <w:p w14:paraId="7C6B081A" w14:textId="77777777" w:rsidR="008C1F7A" w:rsidRPr="00301868" w:rsidRDefault="008C1F7A" w:rsidP="001875BF">
      <w:pPr>
        <w:rPr>
          <w:rFonts w:eastAsia="Calibri"/>
        </w:rPr>
      </w:pPr>
      <w:r w:rsidRPr="00301868">
        <w:rPr>
          <w:rFonts w:eastAsia="Calibri"/>
        </w:rPr>
        <w:t>Thực hiện chủ trương của Chính phủ, việc chi trả lương hưu và trợ cấp BHXH hằng tháng được cơ quan BHXH các tỉnh/thành phố tăng cường thực hiện thông qua hệ thống bưu điện và theo lộ trình nhằm đảm bảo tính hiệu quả và phù hợp với năng lực và đặc điểm của từng địa phương. Việc ứng dụng công nghệ thông tin vào công tác chi trả chế độ hàng tháng thông qua phát hành thẻ ATM được các địa phương triển khai áp dụng đã góp phần nâng cao chất lượng chi trả, như giảm bớt thủ tục hành chính và giảm sử dụng tiền mặt trong công tác chi trả.</w:t>
      </w:r>
    </w:p>
    <w:p w14:paraId="20016200" w14:textId="77777777" w:rsidR="008C1F7A" w:rsidRPr="00301868" w:rsidRDefault="008C1F7A" w:rsidP="001875BF">
      <w:pPr>
        <w:rPr>
          <w:rFonts w:eastAsia="Calibri"/>
        </w:rPr>
      </w:pPr>
      <w:r w:rsidRPr="00301868">
        <w:rPr>
          <w:rFonts w:eastAsia="Calibri"/>
        </w:rPr>
        <w:t xml:space="preserve">Đối với các chế độ ngắn hạn như ốm đau, thai sản do được mở rộng hơn so với Luật BHXH 2006 nên đã góp phần đảm bảo tốt hơn sức khỏe và thu nhập đối với những người thụ hưởng, đặc biệt là đối với các bà mẹ và trẻ sơ sinh trong thời gian nghỉ ốm và thai sản. </w:t>
      </w:r>
    </w:p>
    <w:p w14:paraId="197B47EE" w14:textId="77777777" w:rsidR="008C1F7A" w:rsidRPr="00301868" w:rsidRDefault="008C1F7A" w:rsidP="001875BF">
      <w:pPr>
        <w:rPr>
          <w:rFonts w:eastAsia="Calibri"/>
        </w:rPr>
      </w:pPr>
      <w:r w:rsidRPr="00301868">
        <w:rPr>
          <w:rFonts w:eastAsia="Calibri"/>
        </w:rPr>
        <w:t xml:space="preserve">Quy trình, thủ tục hưởng các chế độ BHXH được ban hành kịp thời theo hướng đơn giản hóa thủ tục hành chính và luôn được sửa đổi, bổ sung để phù hợp với hoàn cảnh của các địa phương và đáp ứng yêu cầu của người thụ hưởng đã giúp cho việc thanh toán các chế độ được thuận lợi, dễ dàng.  Kết quả giải quyết các chế độ ốm đau, thai sản, hưu trí và tử tuất giai đoạn 2016-2019 được trình bày chi tiết trong Phụ lục 3 bên dưới. </w:t>
      </w:r>
    </w:p>
    <w:p w14:paraId="29084260" w14:textId="3DF7A4A6" w:rsidR="008C1F7A" w:rsidRPr="00301868" w:rsidRDefault="008C1F7A" w:rsidP="00277980">
      <w:pPr>
        <w:pStyle w:val="Heading3"/>
        <w:rPr>
          <w:rFonts w:eastAsia="Calibri"/>
        </w:rPr>
      </w:pPr>
      <w:bookmarkStart w:id="29" w:name="_Toc63186698"/>
      <w:r w:rsidRPr="00301868">
        <w:rPr>
          <w:rFonts w:eastAsia="Calibri"/>
        </w:rPr>
        <w:t>3.2</w:t>
      </w:r>
      <w:r w:rsidR="00277980" w:rsidRPr="00301868">
        <w:rPr>
          <w:rFonts w:eastAsia="Calibri"/>
        </w:rPr>
        <w:t>.</w:t>
      </w:r>
      <w:r w:rsidRPr="00301868">
        <w:rPr>
          <w:rFonts w:eastAsia="Calibri"/>
        </w:rPr>
        <w:t xml:space="preserve"> Những hạn chế, vướng mắc trong công tác giải quyết và chi trả chế độ bảo hiểm xã hội</w:t>
      </w:r>
      <w:bookmarkEnd w:id="29"/>
    </w:p>
    <w:p w14:paraId="0CEB9F00" w14:textId="77777777" w:rsidR="008C1F7A" w:rsidRPr="00301868" w:rsidRDefault="008C1F7A" w:rsidP="001875BF">
      <w:pPr>
        <w:rPr>
          <w:rFonts w:eastAsia="Calibri"/>
        </w:rPr>
      </w:pPr>
      <w:r w:rsidRPr="00301868">
        <w:rPr>
          <w:rFonts w:eastAsia="Calibri"/>
        </w:rPr>
        <w:t xml:space="preserve">- Tình hình trục lợi các chế độ bảo hiểm xã hội đã và vẫn tiếp tục là một thách thức đối với cơ quan BHXH các cấp và xảy ra dưới nhiều hình thức tinh vi, phức tạp, bao gồm: </w:t>
      </w:r>
    </w:p>
    <w:p w14:paraId="0DB660B8" w14:textId="77777777" w:rsidR="008C1F7A" w:rsidRPr="00301868" w:rsidRDefault="008C1F7A" w:rsidP="001875BF">
      <w:pPr>
        <w:rPr>
          <w:rFonts w:eastAsia="Calibri"/>
        </w:rPr>
      </w:pPr>
      <w:r w:rsidRPr="00301868">
        <w:rPr>
          <w:rFonts w:eastAsia="Calibri"/>
        </w:rPr>
        <w:t>(i)  Làm giả hoặc mua hồ sơ, chứng từ liên quan đến hưởng các chế độ BHXH; Đặc biệt một số cơ sở khám chữa bệnh buông lỏng việc cấp các loại giấy tờ liên quan đến hưởng các chế độ ốm đau, thai sản;</w:t>
      </w:r>
    </w:p>
    <w:p w14:paraId="7A30407A" w14:textId="77777777" w:rsidR="008C1F7A" w:rsidRPr="00301868" w:rsidRDefault="008C1F7A" w:rsidP="001875BF">
      <w:pPr>
        <w:rPr>
          <w:rFonts w:eastAsia="Calibri"/>
        </w:rPr>
      </w:pPr>
      <w:r w:rsidRPr="00301868">
        <w:rPr>
          <w:rFonts w:eastAsia="Calibri"/>
        </w:rPr>
        <w:t xml:space="preserve">(ii) Các doanh nghiệp tận dụng triệt để việc sử dụng chế độ dưỡng sức, phục hồi sức khoẻ với mức tối đa đối với người lao động của mình sau khi hưởng các chế độ BHXH mặc dù trên thực tế người lao động vẫn đi làm vừa hưởng tiền lương tại doanh nghiệp vừa hưởng chế độ dưỡng sức, phục hồi sức khoẻ do quỹ BHXH chi trả; </w:t>
      </w:r>
    </w:p>
    <w:p w14:paraId="69F1472F" w14:textId="77777777" w:rsidR="008C1F7A" w:rsidRPr="00301868" w:rsidRDefault="008C1F7A" w:rsidP="001875BF">
      <w:pPr>
        <w:rPr>
          <w:rFonts w:eastAsia="Calibri"/>
        </w:rPr>
      </w:pPr>
      <w:r w:rsidRPr="00301868">
        <w:rPr>
          <w:rFonts w:eastAsia="Calibri"/>
        </w:rPr>
        <w:lastRenderedPageBreak/>
        <w:t>(iii) Tham gia hoặc gửi đóng BHXH trong khoảng thời gian được quy định là điều kiện để hưởng các chế độ ngắn hạn và đóng ở mức cao bất thường để hưởng chế độ BHXH cao, sau đó sẽ dừng đóng.</w:t>
      </w:r>
    </w:p>
    <w:p w14:paraId="2F008B77" w14:textId="047349B4" w:rsidR="008C1F7A" w:rsidRPr="00301868" w:rsidRDefault="008C1F7A" w:rsidP="001875BF">
      <w:pPr>
        <w:rPr>
          <w:rFonts w:eastAsia="Calibri"/>
        </w:rPr>
      </w:pPr>
      <w:r w:rsidRPr="00301868">
        <w:rPr>
          <w:rFonts w:eastAsia="Calibri"/>
        </w:rPr>
        <w:t>- Tỷ lệ chi trả chế độ hưu trí và trợ cấp BHXH hàng tháng qua tài khoản ngân hàng vẫn còn thấp. Đến hết năm 2019, trên toàn quốc chỉ có khoảng 19% số người hưởng các chế độ BHXH và khoảng 40% người hưởng trợ cấp thất nghiệp được nhận chế độ qua tài khoản ATM với số tiền chi các chế độ BHXH chiếm khoảng 25% tổng số tiền chi trả; chi trả trợ cấp thất nghiệp chiếm khoảng 50% tổng số tiền chi trả</w:t>
      </w:r>
      <w:r w:rsidRPr="00301868">
        <w:rPr>
          <w:rFonts w:eastAsia="Calibri"/>
          <w:vertAlign w:val="superscript"/>
          <w:lang w:val="en-US"/>
        </w:rPr>
        <w:footnoteReference w:id="15"/>
      </w:r>
      <w:r w:rsidRPr="00301868">
        <w:rPr>
          <w:rFonts w:eastAsia="Calibri"/>
        </w:rPr>
        <w:t>. Việc chi trả các chế độ ngắn hạn chủ yếu vẫn được thực hiện thông qua người sử dụng lao động. Điều này dẫn đến việc thanh quyết toán quỹ BHXH hàng năm chậm, gây lãng phí cho công tác quản lý do khối lượng hồ sơ giấy tờ lớn</w:t>
      </w:r>
      <w:r w:rsidR="001875BF" w:rsidRPr="00301868">
        <w:rPr>
          <w:rFonts w:eastAsia="Calibri"/>
        </w:rPr>
        <w:t>.</w:t>
      </w:r>
      <w:r w:rsidRPr="00301868">
        <w:rPr>
          <w:rFonts w:eastAsia="Calibri"/>
        </w:rPr>
        <w:t xml:space="preserve">     </w:t>
      </w:r>
    </w:p>
    <w:p w14:paraId="035E3B31" w14:textId="50CD1767" w:rsidR="008C1F7A" w:rsidRPr="00301868" w:rsidRDefault="008C1F7A" w:rsidP="001875BF">
      <w:pPr>
        <w:pStyle w:val="Heading3"/>
        <w:rPr>
          <w:rFonts w:eastAsia="Calibri"/>
        </w:rPr>
      </w:pPr>
      <w:bookmarkStart w:id="30" w:name="_Toc63186699"/>
      <w:r w:rsidRPr="00301868">
        <w:rPr>
          <w:rFonts w:eastAsia="Calibri"/>
        </w:rPr>
        <w:t>3.3</w:t>
      </w:r>
      <w:r w:rsidR="001875BF" w:rsidRPr="00301868">
        <w:rPr>
          <w:rFonts w:eastAsia="Calibri"/>
        </w:rPr>
        <w:t>.</w:t>
      </w:r>
      <w:r w:rsidRPr="00301868">
        <w:rPr>
          <w:rFonts w:eastAsia="Calibri"/>
        </w:rPr>
        <w:t xml:space="preserve"> Các giải pháp để giải quyết và chi trả hiệu quả các chế độ bảo hiểm xã hội</w:t>
      </w:r>
      <w:bookmarkEnd w:id="30"/>
      <w:r w:rsidRPr="00301868">
        <w:rPr>
          <w:rFonts w:eastAsia="Calibri"/>
        </w:rPr>
        <w:t xml:space="preserve"> </w:t>
      </w:r>
    </w:p>
    <w:p w14:paraId="28BD4E3F" w14:textId="77777777" w:rsidR="008C1F7A" w:rsidRPr="00301868" w:rsidRDefault="008C1F7A" w:rsidP="001875BF">
      <w:pPr>
        <w:rPr>
          <w:rFonts w:eastAsia="Calibri"/>
        </w:rPr>
      </w:pPr>
      <w:r w:rsidRPr="00301868">
        <w:rPr>
          <w:rFonts w:eastAsia="Calibri"/>
        </w:rPr>
        <w:t>Những khía cạnh pháp lý sau đây cần được xem xét, bổ sung:</w:t>
      </w:r>
    </w:p>
    <w:p w14:paraId="32B22E87" w14:textId="77777777" w:rsidR="008C1F7A" w:rsidRPr="00301868" w:rsidRDefault="008C1F7A" w:rsidP="001875BF">
      <w:pPr>
        <w:rPr>
          <w:rFonts w:eastAsia="Calibri"/>
        </w:rPr>
      </w:pPr>
      <w:r w:rsidRPr="00301868">
        <w:rPr>
          <w:rFonts w:eastAsia="Calibri"/>
        </w:rPr>
        <w:t xml:space="preserve">- Rà soát, sửa đổi, bổ sung quy trình giải quyết chế độ BHXH; </w:t>
      </w:r>
    </w:p>
    <w:p w14:paraId="097D4EFF" w14:textId="77777777" w:rsidR="008C1F7A" w:rsidRPr="00301868" w:rsidRDefault="008C1F7A" w:rsidP="001875BF">
      <w:pPr>
        <w:rPr>
          <w:rFonts w:eastAsia="Calibri"/>
        </w:rPr>
      </w:pPr>
      <w:r w:rsidRPr="00301868">
        <w:rPr>
          <w:rFonts w:eastAsia="Calibri"/>
        </w:rPr>
        <w:t xml:space="preserve">- Quy định cơ chế giám sát, kiểm tra chéo giữa các đơn vị có liên quan trong giải quyết các chế độ BHXH.  </w:t>
      </w:r>
    </w:p>
    <w:p w14:paraId="33C8A442" w14:textId="77777777" w:rsidR="008C1F7A" w:rsidRPr="00301868" w:rsidRDefault="008C1F7A" w:rsidP="001875BF">
      <w:pPr>
        <w:pStyle w:val="Heading2"/>
        <w:rPr>
          <w:rFonts w:eastAsia="Calibri"/>
        </w:rPr>
      </w:pPr>
      <w:bookmarkStart w:id="31" w:name="_Toc63186700"/>
      <w:r w:rsidRPr="00301868">
        <w:rPr>
          <w:rFonts w:eastAsia="Calibri"/>
        </w:rPr>
        <w:t>IV. THANH TRA VÀ KIỂM TRA VIỆC THỰC HIỆN PHÁP LUẬT VỀ BHXH GIAI ĐOẠN 2016-2019</w:t>
      </w:r>
      <w:bookmarkEnd w:id="31"/>
    </w:p>
    <w:p w14:paraId="785E8D7E" w14:textId="773DFA59" w:rsidR="008C1F7A" w:rsidRPr="00301868" w:rsidRDefault="008C1F7A" w:rsidP="001875BF">
      <w:pPr>
        <w:pStyle w:val="Heading3"/>
        <w:rPr>
          <w:rFonts w:eastAsia="Calibri"/>
        </w:rPr>
      </w:pPr>
      <w:bookmarkStart w:id="32" w:name="_Toc63186701"/>
      <w:r w:rsidRPr="00301868">
        <w:rPr>
          <w:rFonts w:eastAsia="Calibri"/>
        </w:rPr>
        <w:t>4.1</w:t>
      </w:r>
      <w:r w:rsidR="001875BF" w:rsidRPr="00301868">
        <w:rPr>
          <w:rFonts w:eastAsia="Calibri"/>
        </w:rPr>
        <w:t>.</w:t>
      </w:r>
      <w:r w:rsidRPr="00301868">
        <w:rPr>
          <w:rFonts w:eastAsia="Calibri"/>
        </w:rPr>
        <w:t xml:space="preserve"> Tình hình vi phạm pháp luật BHXH</w:t>
      </w:r>
      <w:bookmarkEnd w:id="32"/>
      <w:r w:rsidRPr="00301868">
        <w:rPr>
          <w:rFonts w:eastAsia="Calibri"/>
        </w:rPr>
        <w:t xml:space="preserve"> </w:t>
      </w:r>
    </w:p>
    <w:p w14:paraId="311EA1A0" w14:textId="77777777" w:rsidR="008C1F7A" w:rsidRPr="00301868" w:rsidRDefault="008C1F7A" w:rsidP="001875BF">
      <w:pPr>
        <w:rPr>
          <w:rFonts w:eastAsia="Calibri"/>
          <w:lang w:val="pt-BR"/>
        </w:rPr>
      </w:pPr>
      <w:r w:rsidRPr="00301868">
        <w:rPr>
          <w:rFonts w:eastAsia="Calibri"/>
        </w:rPr>
        <w:t>Tình hình</w:t>
      </w:r>
      <w:r w:rsidRPr="00301868">
        <w:rPr>
          <w:rFonts w:eastAsia="Calibri"/>
          <w:b/>
          <w:lang w:val="pt-BR"/>
        </w:rPr>
        <w:t xml:space="preserve"> </w:t>
      </w:r>
      <w:r w:rsidRPr="00301868">
        <w:rPr>
          <w:rFonts w:eastAsia="Calibri"/>
          <w:lang w:val="pt-BR"/>
        </w:rPr>
        <w:t xml:space="preserve">vi phạm pháp luật BHXH được phát hiện qua công tác thanh tra, kiểm tra về thực hiện pháp luật BHXH là khá phổ biến (biểu 8). </w:t>
      </w:r>
    </w:p>
    <w:p w14:paraId="3991DF24" w14:textId="77777777" w:rsidR="008C1F7A" w:rsidRPr="00301868" w:rsidRDefault="008C1F7A" w:rsidP="008C1F7A">
      <w:pPr>
        <w:spacing w:after="0" w:line="240" w:lineRule="auto"/>
        <w:ind w:firstLine="0"/>
        <w:jc w:val="center"/>
        <w:rPr>
          <w:rFonts w:eastAsia="Calibri"/>
          <w:b/>
          <w:lang w:val="pt-BR"/>
        </w:rPr>
      </w:pPr>
      <w:r w:rsidRPr="00301868">
        <w:rPr>
          <w:rFonts w:eastAsia="Calibri"/>
          <w:b/>
          <w:lang w:val="pt-BR"/>
        </w:rPr>
        <w:t xml:space="preserve">Biểu 8: Các hành vi vi phạm pháp luật được phát hiện                                                      qua công tác thanh tra, kiểm tra về thực hiện pháp luật BHXH </w:t>
      </w:r>
    </w:p>
    <w:p w14:paraId="2C2A29A4" w14:textId="77777777" w:rsidR="008C1F7A" w:rsidRPr="00301868" w:rsidRDefault="008C1F7A" w:rsidP="008C1F7A">
      <w:pPr>
        <w:spacing w:after="0" w:line="240" w:lineRule="auto"/>
        <w:ind w:firstLine="0"/>
        <w:jc w:val="center"/>
        <w:rPr>
          <w:rFonts w:eastAsia="Calibri"/>
          <w:b/>
          <w:lang w:val="pt-BR"/>
        </w:rPr>
      </w:pPr>
    </w:p>
    <w:p w14:paraId="688C4FF1" w14:textId="77777777" w:rsidR="008C1F7A" w:rsidRPr="00301868" w:rsidRDefault="008C1F7A" w:rsidP="008C1F7A">
      <w:pPr>
        <w:spacing w:after="0" w:line="240" w:lineRule="auto"/>
        <w:ind w:firstLine="0"/>
        <w:jc w:val="right"/>
        <w:rPr>
          <w:rFonts w:eastAsia="Calibri"/>
          <w:i/>
          <w:sz w:val="24"/>
          <w:szCs w:val="24"/>
          <w:lang w:val="en-US"/>
        </w:rPr>
      </w:pPr>
      <w:r w:rsidRPr="00301868">
        <w:rPr>
          <w:rFonts w:eastAsia="Calibri"/>
          <w:i/>
          <w:sz w:val="24"/>
          <w:szCs w:val="24"/>
          <w:lang w:val="en-US"/>
        </w:rPr>
        <w:t xml:space="preserve">Đơn vị tính: người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440"/>
        <w:gridCol w:w="1350"/>
        <w:gridCol w:w="1440"/>
        <w:gridCol w:w="1423"/>
        <w:gridCol w:w="1457"/>
      </w:tblGrid>
      <w:tr w:rsidR="008C1F7A" w:rsidRPr="00301868" w14:paraId="665CAAB8" w14:textId="77777777" w:rsidTr="00CB18DF">
        <w:trPr>
          <w:trHeight w:val="540"/>
        </w:trPr>
        <w:tc>
          <w:tcPr>
            <w:tcW w:w="2520" w:type="dxa"/>
            <w:shd w:val="clear" w:color="000000" w:fill="FFFFFF"/>
            <w:vAlign w:val="center"/>
            <w:hideMark/>
          </w:tcPr>
          <w:p w14:paraId="69E3C8CF" w14:textId="77777777" w:rsidR="008C1F7A" w:rsidRPr="00301868" w:rsidRDefault="008C1F7A" w:rsidP="008C1F7A">
            <w:pPr>
              <w:spacing w:after="0" w:line="240" w:lineRule="auto"/>
              <w:ind w:firstLine="0"/>
              <w:jc w:val="center"/>
              <w:rPr>
                <w:b/>
                <w:sz w:val="26"/>
                <w:szCs w:val="26"/>
                <w:lang w:val="en-US"/>
              </w:rPr>
            </w:pPr>
            <w:r w:rsidRPr="00301868">
              <w:rPr>
                <w:b/>
                <w:sz w:val="26"/>
                <w:szCs w:val="26"/>
                <w:lang w:val="en-US"/>
              </w:rPr>
              <w:t>Chỉ tiêu</w:t>
            </w:r>
          </w:p>
        </w:tc>
        <w:tc>
          <w:tcPr>
            <w:tcW w:w="1440" w:type="dxa"/>
            <w:shd w:val="clear" w:color="auto" w:fill="auto"/>
            <w:noWrap/>
            <w:vAlign w:val="center"/>
            <w:hideMark/>
          </w:tcPr>
          <w:p w14:paraId="629B9B7E" w14:textId="77777777" w:rsidR="008C1F7A" w:rsidRPr="00301868" w:rsidRDefault="008C1F7A" w:rsidP="008C1F7A">
            <w:pPr>
              <w:spacing w:after="0" w:line="240" w:lineRule="auto"/>
              <w:ind w:firstLine="0"/>
              <w:jc w:val="center"/>
              <w:rPr>
                <w:b/>
                <w:sz w:val="26"/>
                <w:szCs w:val="26"/>
                <w:lang w:val="en-US"/>
              </w:rPr>
            </w:pPr>
            <w:r w:rsidRPr="00301868">
              <w:rPr>
                <w:b/>
                <w:sz w:val="26"/>
                <w:szCs w:val="26"/>
                <w:lang w:val="en-US"/>
              </w:rPr>
              <w:t>Năm 2016</w:t>
            </w:r>
          </w:p>
        </w:tc>
        <w:tc>
          <w:tcPr>
            <w:tcW w:w="1350" w:type="dxa"/>
            <w:shd w:val="clear" w:color="auto" w:fill="auto"/>
            <w:noWrap/>
            <w:vAlign w:val="center"/>
            <w:hideMark/>
          </w:tcPr>
          <w:p w14:paraId="06A91901" w14:textId="77777777" w:rsidR="008C1F7A" w:rsidRPr="00301868" w:rsidRDefault="008C1F7A" w:rsidP="008C1F7A">
            <w:pPr>
              <w:spacing w:after="0" w:line="240" w:lineRule="auto"/>
              <w:ind w:firstLine="0"/>
              <w:jc w:val="center"/>
              <w:rPr>
                <w:b/>
                <w:sz w:val="26"/>
                <w:szCs w:val="26"/>
                <w:lang w:val="en-US"/>
              </w:rPr>
            </w:pPr>
            <w:r w:rsidRPr="00301868">
              <w:rPr>
                <w:b/>
                <w:sz w:val="26"/>
                <w:szCs w:val="26"/>
                <w:lang w:val="en-US"/>
              </w:rPr>
              <w:t>Năm 2017</w:t>
            </w:r>
          </w:p>
        </w:tc>
        <w:tc>
          <w:tcPr>
            <w:tcW w:w="1440" w:type="dxa"/>
            <w:shd w:val="clear" w:color="auto" w:fill="auto"/>
            <w:noWrap/>
            <w:vAlign w:val="center"/>
            <w:hideMark/>
          </w:tcPr>
          <w:p w14:paraId="2030E1E1" w14:textId="77777777" w:rsidR="008C1F7A" w:rsidRPr="00301868" w:rsidRDefault="008C1F7A" w:rsidP="008C1F7A">
            <w:pPr>
              <w:spacing w:after="0" w:line="240" w:lineRule="auto"/>
              <w:ind w:firstLine="0"/>
              <w:jc w:val="center"/>
              <w:rPr>
                <w:b/>
                <w:sz w:val="26"/>
                <w:szCs w:val="26"/>
                <w:lang w:val="en-US"/>
              </w:rPr>
            </w:pPr>
            <w:r w:rsidRPr="00301868">
              <w:rPr>
                <w:b/>
                <w:sz w:val="26"/>
                <w:szCs w:val="26"/>
                <w:lang w:val="en-US"/>
              </w:rPr>
              <w:t>Năm 2018</w:t>
            </w:r>
          </w:p>
        </w:tc>
        <w:tc>
          <w:tcPr>
            <w:tcW w:w="1423" w:type="dxa"/>
            <w:shd w:val="clear" w:color="000000" w:fill="FFFFFF"/>
            <w:noWrap/>
            <w:vAlign w:val="center"/>
            <w:hideMark/>
          </w:tcPr>
          <w:p w14:paraId="0E563627" w14:textId="77777777" w:rsidR="008C1F7A" w:rsidRPr="00301868" w:rsidRDefault="008C1F7A" w:rsidP="008C1F7A">
            <w:pPr>
              <w:spacing w:after="0" w:line="240" w:lineRule="auto"/>
              <w:ind w:firstLine="0"/>
              <w:jc w:val="center"/>
              <w:rPr>
                <w:b/>
                <w:sz w:val="26"/>
                <w:szCs w:val="26"/>
                <w:lang w:val="en-US"/>
              </w:rPr>
            </w:pPr>
            <w:r w:rsidRPr="00301868">
              <w:rPr>
                <w:b/>
                <w:sz w:val="26"/>
                <w:szCs w:val="26"/>
                <w:lang w:val="en-US"/>
              </w:rPr>
              <w:t>Năm 2019</w:t>
            </w:r>
          </w:p>
        </w:tc>
        <w:tc>
          <w:tcPr>
            <w:tcW w:w="1457" w:type="dxa"/>
            <w:shd w:val="clear" w:color="auto" w:fill="auto"/>
            <w:noWrap/>
            <w:vAlign w:val="center"/>
            <w:hideMark/>
          </w:tcPr>
          <w:p w14:paraId="1C683F9A"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Tổng cộng</w:t>
            </w:r>
          </w:p>
        </w:tc>
      </w:tr>
      <w:tr w:rsidR="008C1F7A" w:rsidRPr="00301868" w14:paraId="06602FF6" w14:textId="77777777" w:rsidTr="00CB18DF">
        <w:trPr>
          <w:trHeight w:val="720"/>
        </w:trPr>
        <w:tc>
          <w:tcPr>
            <w:tcW w:w="2520" w:type="dxa"/>
            <w:shd w:val="clear" w:color="000000" w:fill="FFFFFF"/>
            <w:vAlign w:val="center"/>
            <w:hideMark/>
          </w:tcPr>
          <w:p w14:paraId="0C0E4264" w14:textId="77777777" w:rsidR="008C1F7A" w:rsidRPr="00301868" w:rsidRDefault="008C1F7A" w:rsidP="008C1F7A">
            <w:pPr>
              <w:spacing w:before="60" w:after="60" w:line="240" w:lineRule="auto"/>
              <w:ind w:firstLine="0"/>
              <w:jc w:val="left"/>
              <w:rPr>
                <w:sz w:val="26"/>
                <w:szCs w:val="26"/>
              </w:rPr>
            </w:pPr>
            <w:r w:rsidRPr="00301868">
              <w:rPr>
                <w:sz w:val="26"/>
                <w:szCs w:val="26"/>
              </w:rPr>
              <w:t>1. Số lao động chưa tham gia hoặc đóng không đủ thời gian</w:t>
            </w:r>
          </w:p>
        </w:tc>
        <w:tc>
          <w:tcPr>
            <w:tcW w:w="1440" w:type="dxa"/>
            <w:shd w:val="clear" w:color="auto" w:fill="auto"/>
            <w:noWrap/>
            <w:vAlign w:val="center"/>
            <w:hideMark/>
          </w:tcPr>
          <w:p w14:paraId="1A15BF3C"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43.731</w:t>
            </w:r>
          </w:p>
        </w:tc>
        <w:tc>
          <w:tcPr>
            <w:tcW w:w="1350" w:type="dxa"/>
            <w:shd w:val="clear" w:color="auto" w:fill="auto"/>
            <w:noWrap/>
            <w:vAlign w:val="center"/>
            <w:hideMark/>
          </w:tcPr>
          <w:p w14:paraId="4F563085"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42.263</w:t>
            </w:r>
          </w:p>
        </w:tc>
        <w:tc>
          <w:tcPr>
            <w:tcW w:w="1440" w:type="dxa"/>
            <w:shd w:val="clear" w:color="auto" w:fill="auto"/>
            <w:noWrap/>
            <w:vAlign w:val="center"/>
            <w:hideMark/>
          </w:tcPr>
          <w:p w14:paraId="38904259"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48.562</w:t>
            </w:r>
          </w:p>
        </w:tc>
        <w:tc>
          <w:tcPr>
            <w:tcW w:w="1423" w:type="dxa"/>
            <w:shd w:val="clear" w:color="000000" w:fill="FFFFFF"/>
            <w:noWrap/>
            <w:vAlign w:val="center"/>
            <w:hideMark/>
          </w:tcPr>
          <w:p w14:paraId="114E169E"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38.411</w:t>
            </w:r>
          </w:p>
        </w:tc>
        <w:tc>
          <w:tcPr>
            <w:tcW w:w="1457" w:type="dxa"/>
            <w:shd w:val="clear" w:color="auto" w:fill="auto"/>
            <w:noWrap/>
            <w:vAlign w:val="center"/>
            <w:hideMark/>
          </w:tcPr>
          <w:p w14:paraId="7BC66D68" w14:textId="77777777" w:rsidR="008C1F7A" w:rsidRPr="00301868" w:rsidRDefault="008C1F7A" w:rsidP="008C1F7A">
            <w:pPr>
              <w:spacing w:after="0" w:line="240" w:lineRule="auto"/>
              <w:ind w:firstLine="0"/>
              <w:jc w:val="right"/>
              <w:rPr>
                <w:b/>
                <w:bCs/>
                <w:sz w:val="26"/>
                <w:szCs w:val="26"/>
                <w:lang w:val="en-US"/>
              </w:rPr>
            </w:pPr>
            <w:r w:rsidRPr="00301868">
              <w:rPr>
                <w:b/>
                <w:bCs/>
                <w:sz w:val="26"/>
                <w:szCs w:val="26"/>
                <w:lang w:val="en-US"/>
              </w:rPr>
              <w:t>172.967</w:t>
            </w:r>
          </w:p>
        </w:tc>
      </w:tr>
      <w:tr w:rsidR="008C1F7A" w:rsidRPr="00301868" w14:paraId="3B6BE45B" w14:textId="77777777" w:rsidTr="00CB18DF">
        <w:trPr>
          <w:trHeight w:val="465"/>
        </w:trPr>
        <w:tc>
          <w:tcPr>
            <w:tcW w:w="2520" w:type="dxa"/>
            <w:shd w:val="clear" w:color="000000" w:fill="FFFFFF"/>
            <w:noWrap/>
            <w:vAlign w:val="center"/>
            <w:hideMark/>
          </w:tcPr>
          <w:p w14:paraId="331CA98A" w14:textId="77777777" w:rsidR="008C1F7A" w:rsidRPr="00301868" w:rsidRDefault="008C1F7A" w:rsidP="008C1F7A">
            <w:pPr>
              <w:spacing w:before="60" w:after="60" w:line="240" w:lineRule="auto"/>
              <w:ind w:firstLine="0"/>
              <w:jc w:val="left"/>
              <w:rPr>
                <w:sz w:val="26"/>
                <w:szCs w:val="26"/>
              </w:rPr>
            </w:pPr>
            <w:r w:rsidRPr="00301868">
              <w:rPr>
                <w:sz w:val="26"/>
                <w:szCs w:val="26"/>
              </w:rPr>
              <w:t>2. Số lao động đóng không đủ mức</w:t>
            </w:r>
          </w:p>
        </w:tc>
        <w:tc>
          <w:tcPr>
            <w:tcW w:w="1440" w:type="dxa"/>
            <w:shd w:val="clear" w:color="auto" w:fill="auto"/>
            <w:noWrap/>
            <w:vAlign w:val="center"/>
            <w:hideMark/>
          </w:tcPr>
          <w:p w14:paraId="6DA0DD4F"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29.645</w:t>
            </w:r>
          </w:p>
        </w:tc>
        <w:tc>
          <w:tcPr>
            <w:tcW w:w="1350" w:type="dxa"/>
            <w:shd w:val="clear" w:color="auto" w:fill="auto"/>
            <w:noWrap/>
            <w:vAlign w:val="center"/>
            <w:hideMark/>
          </w:tcPr>
          <w:p w14:paraId="4F571928"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50.734</w:t>
            </w:r>
          </w:p>
        </w:tc>
        <w:tc>
          <w:tcPr>
            <w:tcW w:w="1440" w:type="dxa"/>
            <w:shd w:val="clear" w:color="auto" w:fill="auto"/>
            <w:noWrap/>
            <w:vAlign w:val="center"/>
            <w:hideMark/>
          </w:tcPr>
          <w:p w14:paraId="5B6CFE4D"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48.689</w:t>
            </w:r>
          </w:p>
        </w:tc>
        <w:tc>
          <w:tcPr>
            <w:tcW w:w="1423" w:type="dxa"/>
            <w:shd w:val="clear" w:color="000000" w:fill="FFFFFF"/>
            <w:noWrap/>
            <w:vAlign w:val="center"/>
            <w:hideMark/>
          </w:tcPr>
          <w:p w14:paraId="7F64C9F4"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44.688</w:t>
            </w:r>
          </w:p>
        </w:tc>
        <w:tc>
          <w:tcPr>
            <w:tcW w:w="1457" w:type="dxa"/>
            <w:shd w:val="clear" w:color="auto" w:fill="auto"/>
            <w:noWrap/>
            <w:vAlign w:val="center"/>
            <w:hideMark/>
          </w:tcPr>
          <w:p w14:paraId="58A48AC1" w14:textId="77777777" w:rsidR="008C1F7A" w:rsidRPr="00301868" w:rsidRDefault="008C1F7A" w:rsidP="008C1F7A">
            <w:pPr>
              <w:spacing w:after="0" w:line="240" w:lineRule="auto"/>
              <w:ind w:firstLine="0"/>
              <w:jc w:val="right"/>
              <w:rPr>
                <w:b/>
                <w:bCs/>
                <w:sz w:val="26"/>
                <w:szCs w:val="26"/>
                <w:lang w:val="en-US"/>
              </w:rPr>
            </w:pPr>
            <w:r w:rsidRPr="00301868">
              <w:rPr>
                <w:b/>
                <w:bCs/>
                <w:sz w:val="26"/>
                <w:szCs w:val="26"/>
                <w:lang w:val="en-US"/>
              </w:rPr>
              <w:t>173.756</w:t>
            </w:r>
          </w:p>
        </w:tc>
      </w:tr>
    </w:tbl>
    <w:p w14:paraId="35245385" w14:textId="77777777" w:rsidR="008C1F7A" w:rsidRPr="00301868" w:rsidRDefault="008C1F7A" w:rsidP="008C1F7A">
      <w:pPr>
        <w:spacing w:before="60" w:after="0" w:line="240" w:lineRule="auto"/>
        <w:ind w:firstLine="0"/>
        <w:jc w:val="left"/>
        <w:rPr>
          <w:rFonts w:eastAsia="Calibri"/>
          <w:sz w:val="24"/>
          <w:szCs w:val="24"/>
        </w:rPr>
      </w:pPr>
      <w:r w:rsidRPr="00301868">
        <w:rPr>
          <w:rFonts w:eastAsia="Calibri"/>
          <w:i/>
          <w:sz w:val="24"/>
          <w:szCs w:val="24"/>
        </w:rPr>
        <w:t xml:space="preserve">Nguồn: </w:t>
      </w:r>
      <w:r w:rsidRPr="00301868">
        <w:rPr>
          <w:rFonts w:eastAsia="Calibri"/>
          <w:i/>
          <w:sz w:val="24"/>
          <w:szCs w:val="24"/>
        </w:rPr>
        <w:tab/>
      </w:r>
      <w:r w:rsidRPr="00301868">
        <w:rPr>
          <w:rFonts w:eastAsia="Calibri"/>
          <w:sz w:val="24"/>
          <w:szCs w:val="24"/>
        </w:rPr>
        <w:t>Báo cáo của Bảo hiểm xã hội Việt Nam</w:t>
      </w:r>
    </w:p>
    <w:p w14:paraId="4C4C59A2" w14:textId="77777777" w:rsidR="008C1F7A" w:rsidRPr="00301868" w:rsidRDefault="008C1F7A" w:rsidP="001875BF">
      <w:pPr>
        <w:rPr>
          <w:rFonts w:eastAsia="Calibri"/>
          <w:lang w:val="pt-BR"/>
        </w:rPr>
      </w:pPr>
      <w:r w:rsidRPr="00301868">
        <w:rPr>
          <w:rFonts w:eastAsia="Calibri"/>
          <w:lang w:val="pt-BR"/>
        </w:rPr>
        <w:lastRenderedPageBreak/>
        <w:t>Các hành vi vi phạm đã được phát hiện qua công tác thanh tra, kiểm tra bao gồm:</w:t>
      </w:r>
    </w:p>
    <w:p w14:paraId="28177731" w14:textId="77777777" w:rsidR="008C1F7A" w:rsidRPr="00301868" w:rsidRDefault="008C1F7A" w:rsidP="001875BF">
      <w:pPr>
        <w:rPr>
          <w:rFonts w:eastAsia="Calibri"/>
          <w:lang w:val="pt-BR"/>
        </w:rPr>
      </w:pPr>
      <w:r w:rsidRPr="00301868">
        <w:rPr>
          <w:rFonts w:eastAsia="Calibri"/>
          <w:lang w:val="pt-BR"/>
        </w:rPr>
        <w:t xml:space="preserve">- </w:t>
      </w:r>
      <w:r w:rsidRPr="00301868">
        <w:rPr>
          <w:rFonts w:eastAsia="Calibri"/>
          <w:i/>
          <w:lang w:val="pt-BR"/>
        </w:rPr>
        <w:t>Về đối tượng tham gia</w:t>
      </w:r>
      <w:r w:rsidRPr="00301868">
        <w:rPr>
          <w:rFonts w:eastAsia="Calibri"/>
          <w:lang w:val="pt-BR"/>
        </w:rPr>
        <w:t>: Không tham gia, tham gia không đúng đối tượng hoặc đăng ký tham gia không đúng thời gian quy định.</w:t>
      </w:r>
    </w:p>
    <w:p w14:paraId="03B2E7AA" w14:textId="77777777" w:rsidR="008C1F7A" w:rsidRPr="00301868" w:rsidRDefault="008C1F7A" w:rsidP="001875BF">
      <w:pPr>
        <w:rPr>
          <w:rFonts w:eastAsia="Calibri"/>
          <w:lang w:val="pt-BR"/>
        </w:rPr>
      </w:pPr>
      <w:r w:rsidRPr="00301868">
        <w:rPr>
          <w:rFonts w:eastAsia="Calibri"/>
          <w:lang w:val="pt-BR"/>
        </w:rPr>
        <w:t xml:space="preserve">- </w:t>
      </w:r>
      <w:r w:rsidRPr="00301868">
        <w:rPr>
          <w:rFonts w:eastAsia="Calibri"/>
          <w:i/>
          <w:lang w:val="pt-BR"/>
        </w:rPr>
        <w:t>Về mức đóng</w:t>
      </w:r>
      <w:r w:rsidRPr="00301868">
        <w:rPr>
          <w:rFonts w:eastAsia="Calibri"/>
          <w:lang w:val="pt-BR"/>
        </w:rPr>
        <w:t>: Đóng không đúng, không đủ mức đóng theo quy định.</w:t>
      </w:r>
    </w:p>
    <w:p w14:paraId="77066E94" w14:textId="77777777" w:rsidR="008C1F7A" w:rsidRPr="00301868" w:rsidRDefault="008C1F7A" w:rsidP="001875BF">
      <w:pPr>
        <w:rPr>
          <w:rFonts w:eastAsia="Calibri"/>
          <w:lang w:val="pt-BR"/>
        </w:rPr>
      </w:pPr>
      <w:r w:rsidRPr="00301868">
        <w:rPr>
          <w:rFonts w:eastAsia="Calibri"/>
          <w:lang w:val="pt-BR"/>
        </w:rPr>
        <w:t xml:space="preserve">- </w:t>
      </w:r>
      <w:r w:rsidRPr="00301868">
        <w:rPr>
          <w:rFonts w:eastAsia="Calibri"/>
          <w:i/>
          <w:lang w:val="pt-BR"/>
        </w:rPr>
        <w:t>Về phương thức đóng</w:t>
      </w:r>
      <w:r w:rsidRPr="00301868">
        <w:rPr>
          <w:rFonts w:eastAsia="Calibri"/>
          <w:lang w:val="pt-BR"/>
        </w:rPr>
        <w:t>: Trốn đóng, chậm đóng BHXH hoặc đã thu, trích nộp tiền đóng BHXH của người lao động nhưng không nộp về cho cơ quan BHXH.</w:t>
      </w:r>
    </w:p>
    <w:p w14:paraId="74516528" w14:textId="77777777" w:rsidR="008C1F7A" w:rsidRPr="00301868" w:rsidRDefault="008C1F7A" w:rsidP="001875BF">
      <w:pPr>
        <w:rPr>
          <w:rFonts w:eastAsia="Calibri"/>
          <w:lang w:val="pt-BR"/>
        </w:rPr>
      </w:pPr>
      <w:r w:rsidRPr="00301868">
        <w:rPr>
          <w:rFonts w:eastAsia="Calibri"/>
          <w:i/>
          <w:lang w:val="pt-BR"/>
        </w:rPr>
        <w:t>- Trục lợi các chế độ BHXH</w:t>
      </w:r>
      <w:r w:rsidRPr="00301868">
        <w:rPr>
          <w:rFonts w:eastAsia="Calibri"/>
          <w:lang w:val="pt-BR"/>
        </w:rPr>
        <w:t>: Báo cáo của các địa phương cho thấy tình hình trục lợi các chế độ BHXH rất đáng báo động. Các hình thức trục lợi rất tinh vi và thường lợi dụng các kẽ hở của pháp luật về BHXH. Những hình thức trục lợi phổ biến bao gồm:</w:t>
      </w:r>
    </w:p>
    <w:p w14:paraId="073FC803" w14:textId="77777777" w:rsidR="008C1F7A" w:rsidRPr="00301868" w:rsidRDefault="008C1F7A" w:rsidP="001875BF">
      <w:pPr>
        <w:rPr>
          <w:rFonts w:eastAsia="Calibri"/>
          <w:lang w:val="pt-BR"/>
        </w:rPr>
      </w:pPr>
      <w:r w:rsidRPr="00301868">
        <w:rPr>
          <w:rFonts w:eastAsia="Calibri"/>
          <w:lang w:val="pt-BR"/>
        </w:rPr>
        <w:t xml:space="preserve">+ Lập hồ sơ giả hoặc làm sai lệch nội dung hồ sơ BHXH để hưởng các chế độ BHXH; Cơ sở y tế cấp Giấy chứng nhận nghỉ việc hưởng BHXH không đúng quy định như cấp khống, cấp không đúng thẩm quyền; </w:t>
      </w:r>
    </w:p>
    <w:p w14:paraId="2E3C4A5B" w14:textId="77777777" w:rsidR="001875BF" w:rsidRPr="00301868" w:rsidRDefault="008C1F7A" w:rsidP="001875BF">
      <w:pPr>
        <w:rPr>
          <w:rFonts w:eastAsia="Calibri"/>
          <w:lang w:val="pt-BR"/>
        </w:rPr>
      </w:pPr>
      <w:r w:rsidRPr="00301868">
        <w:rPr>
          <w:rFonts w:eastAsia="Calibri"/>
          <w:lang w:val="pt-BR"/>
        </w:rPr>
        <w:t>+ Gửi đóng BHXH hoặc tăng mức đóng cao để lạm dụng chế độ thai sản;</w:t>
      </w:r>
    </w:p>
    <w:p w14:paraId="39A8728E" w14:textId="049DA129" w:rsidR="008C1F7A" w:rsidRPr="00301868" w:rsidRDefault="008C1F7A" w:rsidP="001875BF">
      <w:pPr>
        <w:rPr>
          <w:rFonts w:eastAsia="Calibri"/>
          <w:sz w:val="24"/>
          <w:szCs w:val="24"/>
          <w:lang w:val="pt-BR"/>
        </w:rPr>
      </w:pPr>
      <w:r w:rsidRPr="00301868">
        <w:rPr>
          <w:rFonts w:eastAsia="Calibri"/>
          <w:lang w:val="pt-BR"/>
        </w:rPr>
        <w:t xml:space="preserve">+ Sử dụng sổ BHXH, làm giả hồ sơ để hưởng chế độ BHXH một lần.  </w:t>
      </w:r>
    </w:p>
    <w:p w14:paraId="333CCFA8" w14:textId="7C0F1CE0" w:rsidR="008C1F7A" w:rsidRPr="00301868" w:rsidRDefault="008C1F7A" w:rsidP="001875BF">
      <w:pPr>
        <w:pStyle w:val="Heading3"/>
        <w:rPr>
          <w:rFonts w:eastAsia="Calibri"/>
          <w:lang w:val="pt-BR"/>
        </w:rPr>
      </w:pPr>
      <w:bookmarkStart w:id="33" w:name="_Toc63186702"/>
      <w:r w:rsidRPr="00301868">
        <w:rPr>
          <w:rFonts w:eastAsia="Calibri"/>
          <w:lang w:val="pt-BR"/>
        </w:rPr>
        <w:t>4.2</w:t>
      </w:r>
      <w:r w:rsidR="001875BF" w:rsidRPr="00301868">
        <w:rPr>
          <w:rFonts w:eastAsia="Calibri"/>
          <w:lang w:val="pt-BR"/>
        </w:rPr>
        <w:t>.</w:t>
      </w:r>
      <w:r w:rsidRPr="00301868">
        <w:rPr>
          <w:rFonts w:eastAsia="Calibri"/>
          <w:lang w:val="pt-BR"/>
        </w:rPr>
        <w:t xml:space="preserve"> Công tác thanh tra và kiểm tra của ngành LĐ-TBXH</w:t>
      </w:r>
      <w:bookmarkEnd w:id="33"/>
    </w:p>
    <w:p w14:paraId="29CADBD8" w14:textId="77777777" w:rsidR="008C1F7A" w:rsidRPr="00301868" w:rsidRDefault="008C1F7A" w:rsidP="001875BF">
      <w:pPr>
        <w:rPr>
          <w:rFonts w:eastAsia="Calibri"/>
          <w:lang w:val="pt-BR"/>
        </w:rPr>
      </w:pPr>
      <w:r w:rsidRPr="00301868">
        <w:rPr>
          <w:rFonts w:eastAsia="Calibri"/>
          <w:lang w:val="pt-BR"/>
        </w:rPr>
        <w:t xml:space="preserve">Công tác thanh tra, kiểm tra việc chấp hành pháp luật về BHXH đã từng bước được tăng cường trên các phương diện thanh tra đơn vị sử dụng lao động, thanh tra cơ quan thực hiện chính sách, thanh tra tài chính BHXH. </w:t>
      </w:r>
    </w:p>
    <w:p w14:paraId="29D672DB" w14:textId="77777777" w:rsidR="008C1F7A" w:rsidRPr="00301868" w:rsidRDefault="008C1F7A" w:rsidP="001875BF">
      <w:pPr>
        <w:rPr>
          <w:rFonts w:eastAsia="Calibri"/>
          <w:lang w:val="pt-BR"/>
        </w:rPr>
      </w:pPr>
      <w:r w:rsidRPr="00301868">
        <w:rPr>
          <w:rFonts w:eastAsia="Calibri"/>
          <w:lang w:val="pt-BR"/>
        </w:rPr>
        <w:t>Bộ Lao động - Thương binh và Xã hội đã có nhiều văn bản gửi Tổng Liên đoàn Lao động Việt Nam, Bảo hiểm xã hội Việt Nam và Ủy ban nhân dân các tỉnh, thành phố trực thuộc trung ương đề nghị đôn đốc, chỉ đạo triển khai thực hiện nghiêm các quy định của Luật BHXH 2014, trong đó tập trung vào các giải pháp mở rộng diện bao phủ BHXH, tăng cường tính tuân thủ pháp luật, hạn chế tình trạng trốn đóng, chậm đóng BHXH. Qua công tác thanh tra, kiểm tra đã phát hiện và xử lý các sai phạm trong thực hiện chính sách, pháp luật về BHXH; từng bước góp phần đảm bảo tính tuân thủ, thực thi pháp luật và bảo vệ quyền lợi của người lao động tham gia BHXH.</w:t>
      </w:r>
    </w:p>
    <w:p w14:paraId="791518F3" w14:textId="0FC02611" w:rsidR="008C1F7A" w:rsidRPr="00301868" w:rsidRDefault="008C1F7A" w:rsidP="001875BF">
      <w:pPr>
        <w:rPr>
          <w:rFonts w:eastAsia="Calibri"/>
          <w:lang w:val="pt-BR"/>
        </w:rPr>
      </w:pPr>
      <w:r w:rsidRPr="00301868">
        <w:rPr>
          <w:rFonts w:eastAsia="Calibri"/>
          <w:lang w:val="pt-BR"/>
        </w:rPr>
        <w:t xml:space="preserve">Năm 2019,  Thanh tra Bộ Lao động - Thương binh và Xã hội đã thanh tra việc thực hiện các quy định của pháp luật BHXH, BHTN, BHYT ở 6 tỉnh tại 6 cơ quan BHXH cấp tỉnh, 21 cơ quan BHXH cấp huyện và 88 doanh nghiệp, đơn vị sử dụng lao động. Thanh tra Bộ Lao động </w:t>
      </w:r>
      <w:r w:rsidR="00CB18DF" w:rsidRPr="00301868">
        <w:rPr>
          <w:rFonts w:eastAsia="Calibri"/>
          <w:lang w:val="pt-BR"/>
        </w:rPr>
        <w:t>-</w:t>
      </w:r>
      <w:r w:rsidRPr="00301868">
        <w:rPr>
          <w:rFonts w:eastAsia="Calibri"/>
          <w:lang w:val="pt-BR"/>
        </w:rPr>
        <w:t xml:space="preserve"> Thương binh và Xã hội đã ban hành 350 kiến nghị yêu cầu đối tượng khắc phục sai phạm, thiếu sót; 19 quyết định xử phạt vi phạm hành chính với tổng số tiền 2.095 triệu đồng; kiến nghị truy thu số tiền 382 triệu đồng do người sử dụng lao động trích đóng tiền </w:t>
      </w:r>
      <w:r w:rsidRPr="00301868">
        <w:rPr>
          <w:rFonts w:eastAsia="Calibri"/>
          <w:lang w:val="pt-BR"/>
        </w:rPr>
        <w:lastRenderedPageBreak/>
        <w:t xml:space="preserve">BHXH, BHTN, BHYT không đúng mức quy định. Cũng trong năm 2019, tại các Sở Lao động </w:t>
      </w:r>
      <w:r w:rsidR="00CB18DF" w:rsidRPr="00301868">
        <w:rPr>
          <w:rFonts w:eastAsia="Calibri"/>
          <w:lang w:val="pt-BR"/>
        </w:rPr>
        <w:t>-</w:t>
      </w:r>
      <w:r w:rsidRPr="00301868">
        <w:rPr>
          <w:rFonts w:eastAsia="Calibri"/>
          <w:lang w:val="pt-BR"/>
        </w:rPr>
        <w:t xml:space="preserve"> Thương binh và Xã hội công tác thanh tra việc chấp hành pháp luật về BHXH được lồng ghép vào nội dung của các cuộc thanh tra về pháp luật lao động. Kết quả, các địa phương đã thực hiện  được 3.253 cuộc thanh tra (tăng 48 cuộc so với năm 2018).</w:t>
      </w:r>
    </w:p>
    <w:p w14:paraId="5F9D88D7" w14:textId="501C4509" w:rsidR="008C1F7A" w:rsidRPr="00301868" w:rsidRDefault="008C1F7A" w:rsidP="001875BF">
      <w:pPr>
        <w:pStyle w:val="Heading3"/>
        <w:rPr>
          <w:rFonts w:eastAsia="Calibri"/>
          <w:lang w:val="pt-BR"/>
        </w:rPr>
      </w:pPr>
      <w:bookmarkStart w:id="34" w:name="_Toc63186703"/>
      <w:r w:rsidRPr="00301868">
        <w:rPr>
          <w:rFonts w:eastAsia="Calibri"/>
          <w:lang w:val="pt-BR"/>
        </w:rPr>
        <w:t>4.3</w:t>
      </w:r>
      <w:r w:rsidR="001875BF" w:rsidRPr="00301868">
        <w:rPr>
          <w:rFonts w:eastAsia="Calibri"/>
          <w:lang w:val="pt-BR"/>
        </w:rPr>
        <w:t>.</w:t>
      </w:r>
      <w:r w:rsidRPr="00301868">
        <w:rPr>
          <w:rFonts w:eastAsia="Calibri"/>
          <w:lang w:val="pt-BR"/>
        </w:rPr>
        <w:t xml:space="preserve"> Công tác thanh tra và kiểm tra về quản lý tài chính BHXH</w:t>
      </w:r>
      <w:bookmarkEnd w:id="34"/>
    </w:p>
    <w:p w14:paraId="06670579" w14:textId="77777777" w:rsidR="008C1F7A" w:rsidRPr="00301868" w:rsidRDefault="008C1F7A" w:rsidP="001875BF">
      <w:pPr>
        <w:rPr>
          <w:rFonts w:eastAsia="Calibri"/>
          <w:lang w:val="pt-BR"/>
        </w:rPr>
      </w:pPr>
      <w:r w:rsidRPr="00301868">
        <w:rPr>
          <w:rFonts w:eastAsia="Calibri"/>
          <w:lang w:val="pt-BR"/>
        </w:rPr>
        <w:t>Theo quy định tại Khoản 2 Điều 11 Luật Bảo hiểm xã hội, trách nhiệm của Bộ trưởng Bộ Tài chính là thanh tra, kiểm tra, xử lý vi phạm pháp luật và giải quyết khiếu nại, tố cáo việc thực hiện quản lý tài chính về BHXH. Tuy nhiên, trong giai đoạn 2016-2019, Bộ Tài chính vẫn chưa thực hiện thanh tra, kiểm tra đối với quỹ BHXH. Năm 2019, Bộ Tài chính đã ban hành Quyết định số 2222/QĐ-BTC ngày 23/11/2018 về kế hoạch thanh tra, kiểm tra tài chính năm 2019 nhưng không có nội dung thanh tra, kiểm tra việc thực hiện quản lý tài chính về BHXH, trong đó có quỹ BHXH</w:t>
      </w:r>
      <w:r w:rsidRPr="00301868">
        <w:rPr>
          <w:rFonts w:eastAsia="Calibri"/>
          <w:vertAlign w:val="superscript"/>
          <w:lang w:val="en-US"/>
        </w:rPr>
        <w:footnoteReference w:id="16"/>
      </w:r>
      <w:r w:rsidRPr="00301868">
        <w:rPr>
          <w:rFonts w:eastAsia="Calibri"/>
          <w:lang w:val="pt-BR"/>
        </w:rPr>
        <w:t>.</w:t>
      </w:r>
    </w:p>
    <w:p w14:paraId="5A6B9785" w14:textId="0C9EDC57" w:rsidR="008C1F7A" w:rsidRPr="00301868" w:rsidRDefault="008C1F7A" w:rsidP="001875BF">
      <w:pPr>
        <w:pStyle w:val="Heading3"/>
        <w:rPr>
          <w:rFonts w:eastAsia="Calibri"/>
          <w:lang w:val="pt-BR"/>
        </w:rPr>
      </w:pPr>
      <w:bookmarkStart w:id="35" w:name="_Toc63186704"/>
      <w:r w:rsidRPr="00301868">
        <w:rPr>
          <w:rFonts w:eastAsia="Calibri"/>
          <w:lang w:val="pt-BR"/>
        </w:rPr>
        <w:t>4.4</w:t>
      </w:r>
      <w:r w:rsidR="001875BF" w:rsidRPr="00301868">
        <w:rPr>
          <w:rFonts w:eastAsia="Calibri"/>
          <w:lang w:val="pt-BR"/>
        </w:rPr>
        <w:t>.</w:t>
      </w:r>
      <w:r w:rsidRPr="00301868">
        <w:rPr>
          <w:rFonts w:eastAsia="Calibri"/>
          <w:lang w:val="pt-BR"/>
        </w:rPr>
        <w:t xml:space="preserve"> Công tác thanh tra chuyên ngành về đóng BHXH của cơ quan BHXH</w:t>
      </w:r>
      <w:bookmarkEnd w:id="35"/>
    </w:p>
    <w:p w14:paraId="6B469431" w14:textId="77777777" w:rsidR="008C1F7A" w:rsidRPr="00301868" w:rsidRDefault="008C1F7A" w:rsidP="001875BF">
      <w:pPr>
        <w:rPr>
          <w:rFonts w:eastAsia="Calibri"/>
          <w:lang w:val="pt-BR"/>
        </w:rPr>
      </w:pPr>
      <w:r w:rsidRPr="00301868">
        <w:rPr>
          <w:rFonts w:eastAsia="Calibri"/>
          <w:lang w:val="pt-BR"/>
        </w:rPr>
        <w:t>Thực hiện chức năng thanh tra chuyên ngành đóng BHXH, cơ quan BHXH đã góp phần thiết thực bảo vệ quyền và lợi ích hợp pháp của người lao động, đồng thời có tác dụng răn đe, phòng ngừa hành vi vi phạm của người sử dụng lao động. Hoạt động thanh tra, kiểm tra chuyên ngành đóng BHXH của cơ quan BHXH giai đoạn 2016-2019 được thể hiện trong Biểu 9.</w:t>
      </w:r>
    </w:p>
    <w:p w14:paraId="33949922" w14:textId="4A202CDF" w:rsidR="008C1F7A" w:rsidRPr="00301868" w:rsidRDefault="008C1F7A" w:rsidP="008C1F7A">
      <w:pPr>
        <w:spacing w:after="0" w:line="240" w:lineRule="auto"/>
        <w:ind w:firstLine="0"/>
        <w:jc w:val="center"/>
        <w:rPr>
          <w:rFonts w:eastAsia="Calibri"/>
          <w:b/>
          <w:lang w:val="pt-BR"/>
        </w:rPr>
      </w:pPr>
      <w:r w:rsidRPr="00301868">
        <w:rPr>
          <w:rFonts w:eastAsia="Calibri"/>
          <w:b/>
          <w:lang w:val="pt-BR"/>
        </w:rPr>
        <w:t>Biểu 9: thanh tra, kiểm tra chuyên ngành đóng BHXH                                                                giai đoạn 2016</w:t>
      </w:r>
      <w:r w:rsidR="00CB18DF" w:rsidRPr="00301868">
        <w:rPr>
          <w:rFonts w:eastAsia="Calibri"/>
          <w:b/>
          <w:lang w:val="pt-BR"/>
        </w:rPr>
        <w:t>-</w:t>
      </w:r>
      <w:r w:rsidRPr="00301868">
        <w:rPr>
          <w:rFonts w:eastAsia="Calibri"/>
          <w:b/>
          <w:lang w:val="pt-BR"/>
        </w:rPr>
        <w:t xml:space="preserve">2019 </w:t>
      </w:r>
    </w:p>
    <w:p w14:paraId="66C38F5B" w14:textId="77777777" w:rsidR="008C1F7A" w:rsidRPr="00301868" w:rsidRDefault="008C1F7A" w:rsidP="008C1F7A">
      <w:pPr>
        <w:spacing w:after="0" w:line="240" w:lineRule="auto"/>
        <w:ind w:firstLine="0"/>
        <w:rPr>
          <w:rFonts w:eastAsia="Calibri"/>
          <w:lang w:val="pt-BR"/>
        </w:rPr>
      </w:pPr>
    </w:p>
    <w:tbl>
      <w:tblPr>
        <w:tblW w:w="936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20"/>
        <w:gridCol w:w="1390"/>
        <w:gridCol w:w="1530"/>
        <w:gridCol w:w="1440"/>
        <w:gridCol w:w="1423"/>
        <w:gridCol w:w="1457"/>
      </w:tblGrid>
      <w:tr w:rsidR="008C1F7A" w:rsidRPr="00301868" w14:paraId="1320B2C9" w14:textId="77777777" w:rsidTr="00CB18DF">
        <w:trPr>
          <w:trHeight w:val="570"/>
        </w:trPr>
        <w:tc>
          <w:tcPr>
            <w:tcW w:w="2120" w:type="dxa"/>
            <w:shd w:val="clear" w:color="auto" w:fill="auto"/>
            <w:noWrap/>
            <w:vAlign w:val="center"/>
            <w:hideMark/>
          </w:tcPr>
          <w:p w14:paraId="775F8660" w14:textId="77777777" w:rsidR="008C1F7A" w:rsidRPr="00301868" w:rsidRDefault="008C1F7A" w:rsidP="008C1F7A">
            <w:pPr>
              <w:spacing w:after="0" w:line="240" w:lineRule="auto"/>
              <w:ind w:firstLine="0"/>
              <w:jc w:val="center"/>
              <w:rPr>
                <w:b/>
                <w:bCs/>
                <w:color w:val="000000"/>
                <w:sz w:val="26"/>
                <w:szCs w:val="26"/>
                <w:lang w:val="en-US"/>
              </w:rPr>
            </w:pPr>
            <w:r w:rsidRPr="00301868">
              <w:rPr>
                <w:b/>
                <w:bCs/>
                <w:color w:val="000000"/>
                <w:sz w:val="26"/>
                <w:szCs w:val="26"/>
                <w:lang w:val="en-US"/>
              </w:rPr>
              <w:t>Chỉ tiêu</w:t>
            </w:r>
          </w:p>
        </w:tc>
        <w:tc>
          <w:tcPr>
            <w:tcW w:w="1390" w:type="dxa"/>
            <w:shd w:val="clear" w:color="auto" w:fill="auto"/>
            <w:noWrap/>
            <w:vAlign w:val="center"/>
            <w:hideMark/>
          </w:tcPr>
          <w:p w14:paraId="26B2F56E"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Năm 2016</w:t>
            </w:r>
          </w:p>
        </w:tc>
        <w:tc>
          <w:tcPr>
            <w:tcW w:w="1530" w:type="dxa"/>
            <w:shd w:val="clear" w:color="auto" w:fill="auto"/>
            <w:noWrap/>
            <w:vAlign w:val="center"/>
            <w:hideMark/>
          </w:tcPr>
          <w:p w14:paraId="3A7E4DCF"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Năm 2017</w:t>
            </w:r>
          </w:p>
        </w:tc>
        <w:tc>
          <w:tcPr>
            <w:tcW w:w="1440" w:type="dxa"/>
            <w:shd w:val="clear" w:color="auto" w:fill="auto"/>
            <w:vAlign w:val="center"/>
            <w:hideMark/>
          </w:tcPr>
          <w:p w14:paraId="1A7BD7AB"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Năm 2018</w:t>
            </w:r>
          </w:p>
        </w:tc>
        <w:tc>
          <w:tcPr>
            <w:tcW w:w="1423" w:type="dxa"/>
            <w:shd w:val="clear" w:color="auto" w:fill="auto"/>
            <w:vAlign w:val="center"/>
            <w:hideMark/>
          </w:tcPr>
          <w:p w14:paraId="1C0D69F4"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Năm 2019</w:t>
            </w:r>
          </w:p>
        </w:tc>
        <w:tc>
          <w:tcPr>
            <w:tcW w:w="1457" w:type="dxa"/>
            <w:shd w:val="clear" w:color="auto" w:fill="auto"/>
            <w:vAlign w:val="center"/>
            <w:hideMark/>
          </w:tcPr>
          <w:p w14:paraId="49A67D46" w14:textId="77777777" w:rsidR="008C1F7A" w:rsidRPr="00301868" w:rsidRDefault="008C1F7A" w:rsidP="008C1F7A">
            <w:pPr>
              <w:spacing w:after="0" w:line="240" w:lineRule="auto"/>
              <w:ind w:firstLine="0"/>
              <w:jc w:val="center"/>
              <w:rPr>
                <w:b/>
                <w:bCs/>
                <w:sz w:val="26"/>
                <w:szCs w:val="26"/>
                <w:lang w:val="en-US"/>
              </w:rPr>
            </w:pPr>
            <w:r w:rsidRPr="00301868">
              <w:rPr>
                <w:b/>
                <w:bCs/>
                <w:sz w:val="26"/>
                <w:szCs w:val="26"/>
                <w:lang w:val="en-US"/>
              </w:rPr>
              <w:t>Tổng cộng</w:t>
            </w:r>
          </w:p>
        </w:tc>
      </w:tr>
      <w:tr w:rsidR="008C1F7A" w:rsidRPr="00301868" w14:paraId="6F6FA7FB" w14:textId="77777777" w:rsidTr="00CB18DF">
        <w:trPr>
          <w:trHeight w:val="435"/>
        </w:trPr>
        <w:tc>
          <w:tcPr>
            <w:tcW w:w="2120" w:type="dxa"/>
            <w:tcBorders>
              <w:bottom w:val="single" w:sz="8" w:space="0" w:color="auto"/>
            </w:tcBorders>
            <w:shd w:val="clear" w:color="000000" w:fill="FFFFFF"/>
            <w:noWrap/>
            <w:vAlign w:val="center"/>
            <w:hideMark/>
          </w:tcPr>
          <w:p w14:paraId="68778004" w14:textId="77777777" w:rsidR="008C1F7A" w:rsidRPr="00301868" w:rsidRDefault="008C1F7A" w:rsidP="008C1F7A">
            <w:pPr>
              <w:spacing w:after="0" w:line="240" w:lineRule="auto"/>
              <w:ind w:firstLine="0"/>
              <w:jc w:val="left"/>
              <w:rPr>
                <w:b/>
                <w:sz w:val="26"/>
                <w:szCs w:val="26"/>
                <w:lang w:val="en-US"/>
              </w:rPr>
            </w:pPr>
            <w:r w:rsidRPr="00301868">
              <w:rPr>
                <w:b/>
                <w:sz w:val="26"/>
                <w:szCs w:val="26"/>
                <w:lang w:val="en-US"/>
              </w:rPr>
              <w:t>1. Số cuộc thanh tra, kiểm tra</w:t>
            </w:r>
          </w:p>
        </w:tc>
        <w:tc>
          <w:tcPr>
            <w:tcW w:w="1390" w:type="dxa"/>
            <w:tcBorders>
              <w:bottom w:val="single" w:sz="8" w:space="0" w:color="auto"/>
            </w:tcBorders>
            <w:shd w:val="clear" w:color="auto" w:fill="auto"/>
            <w:noWrap/>
            <w:vAlign w:val="center"/>
            <w:hideMark/>
          </w:tcPr>
          <w:p w14:paraId="4B76FFBB" w14:textId="77777777" w:rsidR="008C1F7A" w:rsidRPr="00301868" w:rsidRDefault="008C1F7A" w:rsidP="008C1F7A">
            <w:pPr>
              <w:spacing w:after="0" w:line="240" w:lineRule="auto"/>
              <w:ind w:firstLine="0"/>
              <w:jc w:val="right"/>
              <w:rPr>
                <w:b/>
                <w:sz w:val="26"/>
                <w:szCs w:val="26"/>
                <w:lang w:val="en-US"/>
              </w:rPr>
            </w:pPr>
            <w:r w:rsidRPr="00301868">
              <w:rPr>
                <w:b/>
                <w:sz w:val="26"/>
                <w:szCs w:val="26"/>
                <w:lang w:val="en-US"/>
              </w:rPr>
              <w:t>10.046</w:t>
            </w:r>
          </w:p>
        </w:tc>
        <w:tc>
          <w:tcPr>
            <w:tcW w:w="1530" w:type="dxa"/>
            <w:tcBorders>
              <w:bottom w:val="single" w:sz="8" w:space="0" w:color="auto"/>
            </w:tcBorders>
            <w:shd w:val="clear" w:color="auto" w:fill="auto"/>
            <w:noWrap/>
            <w:vAlign w:val="center"/>
            <w:hideMark/>
          </w:tcPr>
          <w:p w14:paraId="2F3D8074" w14:textId="77777777" w:rsidR="008C1F7A" w:rsidRPr="00301868" w:rsidRDefault="008C1F7A" w:rsidP="008C1F7A">
            <w:pPr>
              <w:spacing w:after="0" w:line="240" w:lineRule="auto"/>
              <w:ind w:firstLine="0"/>
              <w:jc w:val="right"/>
              <w:rPr>
                <w:b/>
                <w:sz w:val="26"/>
                <w:szCs w:val="26"/>
                <w:lang w:val="en-US"/>
              </w:rPr>
            </w:pPr>
            <w:r w:rsidRPr="00301868">
              <w:rPr>
                <w:b/>
                <w:sz w:val="26"/>
                <w:szCs w:val="26"/>
                <w:lang w:val="en-US"/>
              </w:rPr>
              <w:t>8.761</w:t>
            </w:r>
          </w:p>
        </w:tc>
        <w:tc>
          <w:tcPr>
            <w:tcW w:w="1440" w:type="dxa"/>
            <w:tcBorders>
              <w:bottom w:val="single" w:sz="8" w:space="0" w:color="auto"/>
            </w:tcBorders>
            <w:shd w:val="clear" w:color="auto" w:fill="auto"/>
            <w:noWrap/>
            <w:vAlign w:val="center"/>
            <w:hideMark/>
          </w:tcPr>
          <w:p w14:paraId="65759B9C" w14:textId="77777777" w:rsidR="008C1F7A" w:rsidRPr="00301868" w:rsidRDefault="008C1F7A" w:rsidP="008C1F7A">
            <w:pPr>
              <w:spacing w:after="0" w:line="240" w:lineRule="auto"/>
              <w:ind w:firstLine="0"/>
              <w:jc w:val="right"/>
              <w:rPr>
                <w:b/>
                <w:sz w:val="26"/>
                <w:szCs w:val="26"/>
                <w:lang w:val="en-US"/>
              </w:rPr>
            </w:pPr>
            <w:r w:rsidRPr="00301868">
              <w:rPr>
                <w:b/>
                <w:sz w:val="26"/>
                <w:szCs w:val="26"/>
                <w:lang w:val="en-US"/>
              </w:rPr>
              <w:t>16.083</w:t>
            </w:r>
          </w:p>
        </w:tc>
        <w:tc>
          <w:tcPr>
            <w:tcW w:w="1423" w:type="dxa"/>
            <w:tcBorders>
              <w:bottom w:val="single" w:sz="8" w:space="0" w:color="auto"/>
            </w:tcBorders>
            <w:shd w:val="clear" w:color="000000" w:fill="FFFFFF"/>
            <w:noWrap/>
            <w:vAlign w:val="center"/>
            <w:hideMark/>
          </w:tcPr>
          <w:p w14:paraId="6BDF95B9" w14:textId="77777777" w:rsidR="008C1F7A" w:rsidRPr="00301868" w:rsidRDefault="008C1F7A" w:rsidP="008C1F7A">
            <w:pPr>
              <w:spacing w:after="0" w:line="240" w:lineRule="auto"/>
              <w:ind w:firstLine="0"/>
              <w:jc w:val="right"/>
              <w:rPr>
                <w:b/>
                <w:sz w:val="26"/>
                <w:szCs w:val="26"/>
                <w:lang w:val="en-US"/>
              </w:rPr>
            </w:pPr>
            <w:r w:rsidRPr="00301868">
              <w:rPr>
                <w:b/>
                <w:sz w:val="26"/>
                <w:szCs w:val="26"/>
                <w:lang w:val="en-US"/>
              </w:rPr>
              <w:t>18.954</w:t>
            </w:r>
          </w:p>
        </w:tc>
        <w:tc>
          <w:tcPr>
            <w:tcW w:w="1457" w:type="dxa"/>
            <w:tcBorders>
              <w:bottom w:val="single" w:sz="8" w:space="0" w:color="auto"/>
            </w:tcBorders>
            <w:shd w:val="clear" w:color="auto" w:fill="auto"/>
            <w:noWrap/>
            <w:vAlign w:val="center"/>
            <w:hideMark/>
          </w:tcPr>
          <w:p w14:paraId="7B7FC32E" w14:textId="77777777" w:rsidR="008C1F7A" w:rsidRPr="00301868" w:rsidRDefault="008C1F7A" w:rsidP="008C1F7A">
            <w:pPr>
              <w:spacing w:after="0" w:line="240" w:lineRule="auto"/>
              <w:ind w:firstLine="0"/>
              <w:jc w:val="right"/>
              <w:rPr>
                <w:b/>
                <w:bCs/>
                <w:sz w:val="26"/>
                <w:szCs w:val="26"/>
                <w:lang w:val="en-US"/>
              </w:rPr>
            </w:pPr>
            <w:r w:rsidRPr="00301868">
              <w:rPr>
                <w:b/>
                <w:bCs/>
                <w:sz w:val="26"/>
                <w:szCs w:val="26"/>
                <w:lang w:val="en-US"/>
              </w:rPr>
              <w:t>53.844</w:t>
            </w:r>
          </w:p>
        </w:tc>
      </w:tr>
      <w:tr w:rsidR="008C1F7A" w:rsidRPr="00301868" w14:paraId="6BBCFF6B" w14:textId="77777777" w:rsidTr="00CB18DF">
        <w:trPr>
          <w:trHeight w:val="435"/>
        </w:trPr>
        <w:tc>
          <w:tcPr>
            <w:tcW w:w="2120" w:type="dxa"/>
            <w:tcBorders>
              <w:top w:val="single" w:sz="8" w:space="0" w:color="auto"/>
              <w:bottom w:val="dotted" w:sz="4" w:space="0" w:color="auto"/>
            </w:tcBorders>
            <w:shd w:val="clear" w:color="000000" w:fill="FFFFFF"/>
            <w:noWrap/>
            <w:vAlign w:val="center"/>
            <w:hideMark/>
          </w:tcPr>
          <w:p w14:paraId="298C3428" w14:textId="77777777" w:rsidR="008C1F7A" w:rsidRPr="00301868" w:rsidRDefault="008C1F7A" w:rsidP="008C1F7A">
            <w:pPr>
              <w:spacing w:after="0" w:line="240" w:lineRule="auto"/>
              <w:ind w:firstLine="0"/>
              <w:jc w:val="left"/>
              <w:rPr>
                <w:i/>
                <w:sz w:val="26"/>
                <w:szCs w:val="26"/>
                <w:lang w:val="en-US"/>
              </w:rPr>
            </w:pPr>
            <w:r w:rsidRPr="00301868">
              <w:rPr>
                <w:b/>
                <w:sz w:val="26"/>
                <w:szCs w:val="26"/>
                <w:lang w:val="en-US"/>
              </w:rPr>
              <w:t>2. Số đơn vị thanh tra, kiểm tra,</w:t>
            </w:r>
            <w:r w:rsidRPr="00301868">
              <w:rPr>
                <w:i/>
                <w:sz w:val="26"/>
                <w:szCs w:val="26"/>
                <w:lang w:val="en-US"/>
              </w:rPr>
              <w:t xml:space="preserve"> trong đó:</w:t>
            </w:r>
          </w:p>
        </w:tc>
        <w:tc>
          <w:tcPr>
            <w:tcW w:w="1390" w:type="dxa"/>
            <w:tcBorders>
              <w:top w:val="single" w:sz="8" w:space="0" w:color="auto"/>
              <w:bottom w:val="dotted" w:sz="4" w:space="0" w:color="auto"/>
            </w:tcBorders>
            <w:shd w:val="clear" w:color="auto" w:fill="auto"/>
            <w:noWrap/>
            <w:vAlign w:val="center"/>
            <w:hideMark/>
          </w:tcPr>
          <w:p w14:paraId="02B9B2A2" w14:textId="77777777" w:rsidR="008C1F7A" w:rsidRPr="00301868" w:rsidRDefault="008C1F7A" w:rsidP="008C1F7A">
            <w:pPr>
              <w:spacing w:after="0" w:line="240" w:lineRule="auto"/>
              <w:ind w:firstLine="0"/>
              <w:jc w:val="right"/>
              <w:rPr>
                <w:b/>
                <w:bCs/>
                <w:iCs/>
                <w:color w:val="000000"/>
                <w:sz w:val="26"/>
                <w:szCs w:val="26"/>
                <w:lang w:val="en-US"/>
              </w:rPr>
            </w:pPr>
            <w:r w:rsidRPr="00301868">
              <w:rPr>
                <w:b/>
                <w:bCs/>
                <w:iCs/>
                <w:color w:val="000000"/>
                <w:sz w:val="26"/>
                <w:szCs w:val="26"/>
                <w:lang w:val="en-US"/>
              </w:rPr>
              <w:t>18.732</w:t>
            </w:r>
          </w:p>
        </w:tc>
        <w:tc>
          <w:tcPr>
            <w:tcW w:w="1530" w:type="dxa"/>
            <w:tcBorders>
              <w:top w:val="single" w:sz="8" w:space="0" w:color="auto"/>
              <w:bottom w:val="dotted" w:sz="4" w:space="0" w:color="auto"/>
            </w:tcBorders>
            <w:shd w:val="clear" w:color="auto" w:fill="auto"/>
            <w:noWrap/>
            <w:vAlign w:val="center"/>
            <w:hideMark/>
          </w:tcPr>
          <w:p w14:paraId="2906AAFF" w14:textId="77777777" w:rsidR="008C1F7A" w:rsidRPr="00301868" w:rsidRDefault="008C1F7A" w:rsidP="008C1F7A">
            <w:pPr>
              <w:spacing w:after="0" w:line="240" w:lineRule="auto"/>
              <w:ind w:firstLine="0"/>
              <w:jc w:val="right"/>
              <w:rPr>
                <w:b/>
                <w:bCs/>
                <w:iCs/>
                <w:color w:val="000000"/>
                <w:sz w:val="26"/>
                <w:szCs w:val="26"/>
                <w:lang w:val="en-US"/>
              </w:rPr>
            </w:pPr>
            <w:r w:rsidRPr="00301868">
              <w:rPr>
                <w:b/>
                <w:bCs/>
                <w:iCs/>
                <w:color w:val="000000"/>
                <w:sz w:val="26"/>
                <w:szCs w:val="26"/>
                <w:lang w:val="en-US"/>
              </w:rPr>
              <w:t>19.402</w:t>
            </w:r>
          </w:p>
        </w:tc>
        <w:tc>
          <w:tcPr>
            <w:tcW w:w="1440" w:type="dxa"/>
            <w:tcBorders>
              <w:top w:val="single" w:sz="8" w:space="0" w:color="auto"/>
              <w:bottom w:val="dotted" w:sz="4" w:space="0" w:color="auto"/>
            </w:tcBorders>
            <w:shd w:val="clear" w:color="auto" w:fill="auto"/>
            <w:noWrap/>
            <w:vAlign w:val="center"/>
            <w:hideMark/>
          </w:tcPr>
          <w:p w14:paraId="7FDAD0AD" w14:textId="77777777" w:rsidR="008C1F7A" w:rsidRPr="00301868" w:rsidRDefault="008C1F7A" w:rsidP="008C1F7A">
            <w:pPr>
              <w:spacing w:after="0" w:line="240" w:lineRule="auto"/>
              <w:ind w:firstLine="0"/>
              <w:jc w:val="right"/>
              <w:rPr>
                <w:b/>
                <w:bCs/>
                <w:iCs/>
                <w:color w:val="000000"/>
                <w:sz w:val="26"/>
                <w:szCs w:val="26"/>
                <w:lang w:val="en-US"/>
              </w:rPr>
            </w:pPr>
            <w:r w:rsidRPr="00301868">
              <w:rPr>
                <w:b/>
                <w:bCs/>
                <w:iCs/>
                <w:color w:val="000000"/>
                <w:sz w:val="26"/>
                <w:szCs w:val="26"/>
                <w:lang w:val="en-US"/>
              </w:rPr>
              <w:t>25.343</w:t>
            </w:r>
          </w:p>
        </w:tc>
        <w:tc>
          <w:tcPr>
            <w:tcW w:w="1423" w:type="dxa"/>
            <w:tcBorders>
              <w:top w:val="single" w:sz="8" w:space="0" w:color="auto"/>
              <w:bottom w:val="dotted" w:sz="4" w:space="0" w:color="auto"/>
            </w:tcBorders>
            <w:shd w:val="clear" w:color="auto" w:fill="auto"/>
            <w:noWrap/>
            <w:vAlign w:val="center"/>
            <w:hideMark/>
          </w:tcPr>
          <w:p w14:paraId="08847E1A" w14:textId="77777777" w:rsidR="008C1F7A" w:rsidRPr="00301868" w:rsidRDefault="008C1F7A" w:rsidP="008C1F7A">
            <w:pPr>
              <w:spacing w:after="0" w:line="240" w:lineRule="auto"/>
              <w:ind w:firstLine="0"/>
              <w:jc w:val="right"/>
              <w:rPr>
                <w:b/>
                <w:bCs/>
                <w:iCs/>
                <w:color w:val="000000"/>
                <w:sz w:val="26"/>
                <w:szCs w:val="26"/>
                <w:lang w:val="en-US"/>
              </w:rPr>
            </w:pPr>
            <w:r w:rsidRPr="00301868">
              <w:rPr>
                <w:b/>
                <w:bCs/>
                <w:iCs/>
                <w:color w:val="000000"/>
                <w:sz w:val="26"/>
                <w:szCs w:val="26"/>
                <w:lang w:val="en-US"/>
              </w:rPr>
              <w:t>28.336</w:t>
            </w:r>
          </w:p>
        </w:tc>
        <w:tc>
          <w:tcPr>
            <w:tcW w:w="1457" w:type="dxa"/>
            <w:tcBorders>
              <w:top w:val="single" w:sz="8" w:space="0" w:color="auto"/>
              <w:bottom w:val="dotted" w:sz="4" w:space="0" w:color="auto"/>
            </w:tcBorders>
            <w:shd w:val="clear" w:color="auto" w:fill="auto"/>
            <w:noWrap/>
            <w:vAlign w:val="center"/>
            <w:hideMark/>
          </w:tcPr>
          <w:p w14:paraId="5DE66BA8" w14:textId="77777777" w:rsidR="008C1F7A" w:rsidRPr="00301868" w:rsidRDefault="008C1F7A" w:rsidP="008C1F7A">
            <w:pPr>
              <w:spacing w:after="0" w:line="240" w:lineRule="auto"/>
              <w:ind w:firstLine="0"/>
              <w:jc w:val="right"/>
              <w:rPr>
                <w:b/>
                <w:bCs/>
                <w:iCs/>
                <w:color w:val="000000"/>
                <w:sz w:val="26"/>
                <w:szCs w:val="26"/>
                <w:lang w:val="en-US"/>
              </w:rPr>
            </w:pPr>
            <w:r w:rsidRPr="00301868">
              <w:rPr>
                <w:b/>
                <w:bCs/>
                <w:iCs/>
                <w:color w:val="000000"/>
                <w:sz w:val="26"/>
                <w:szCs w:val="26"/>
                <w:lang w:val="en-US"/>
              </w:rPr>
              <w:t>91.813</w:t>
            </w:r>
          </w:p>
        </w:tc>
      </w:tr>
      <w:tr w:rsidR="008C1F7A" w:rsidRPr="00301868" w14:paraId="66267362" w14:textId="77777777" w:rsidTr="00CB18DF">
        <w:trPr>
          <w:trHeight w:val="435"/>
        </w:trPr>
        <w:tc>
          <w:tcPr>
            <w:tcW w:w="2120" w:type="dxa"/>
            <w:tcBorders>
              <w:top w:val="dotted" w:sz="4" w:space="0" w:color="auto"/>
              <w:bottom w:val="dotted" w:sz="4" w:space="0" w:color="auto"/>
            </w:tcBorders>
            <w:shd w:val="clear" w:color="000000" w:fill="FFFFFF"/>
            <w:noWrap/>
            <w:vAlign w:val="center"/>
            <w:hideMark/>
          </w:tcPr>
          <w:p w14:paraId="4C9FA195" w14:textId="77777777" w:rsidR="008C1F7A" w:rsidRPr="00301868" w:rsidRDefault="008C1F7A" w:rsidP="008C1F7A">
            <w:pPr>
              <w:numPr>
                <w:ilvl w:val="0"/>
                <w:numId w:val="21"/>
              </w:numPr>
              <w:spacing w:before="120" w:after="0" w:line="240" w:lineRule="auto"/>
              <w:ind w:left="162" w:hanging="162"/>
              <w:contextualSpacing/>
              <w:jc w:val="left"/>
              <w:rPr>
                <w:sz w:val="26"/>
                <w:szCs w:val="26"/>
                <w:lang w:val="en-US"/>
              </w:rPr>
            </w:pPr>
            <w:r w:rsidRPr="00301868">
              <w:rPr>
                <w:sz w:val="26"/>
                <w:szCs w:val="26"/>
                <w:lang w:val="en-US"/>
              </w:rPr>
              <w:t>Kiểm tra nội bộ</w:t>
            </w:r>
          </w:p>
        </w:tc>
        <w:tc>
          <w:tcPr>
            <w:tcW w:w="1390" w:type="dxa"/>
            <w:tcBorders>
              <w:top w:val="dotted" w:sz="4" w:space="0" w:color="auto"/>
              <w:bottom w:val="dotted" w:sz="4" w:space="0" w:color="auto"/>
            </w:tcBorders>
            <w:shd w:val="clear" w:color="auto" w:fill="auto"/>
            <w:noWrap/>
            <w:vAlign w:val="center"/>
            <w:hideMark/>
          </w:tcPr>
          <w:p w14:paraId="2306B8C2"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443</w:t>
            </w:r>
          </w:p>
        </w:tc>
        <w:tc>
          <w:tcPr>
            <w:tcW w:w="1530" w:type="dxa"/>
            <w:tcBorders>
              <w:top w:val="dotted" w:sz="4" w:space="0" w:color="auto"/>
              <w:bottom w:val="dotted" w:sz="4" w:space="0" w:color="auto"/>
            </w:tcBorders>
            <w:shd w:val="clear" w:color="auto" w:fill="auto"/>
            <w:noWrap/>
            <w:vAlign w:val="center"/>
            <w:hideMark/>
          </w:tcPr>
          <w:p w14:paraId="53EAA5F8"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385</w:t>
            </w:r>
          </w:p>
        </w:tc>
        <w:tc>
          <w:tcPr>
            <w:tcW w:w="1440" w:type="dxa"/>
            <w:tcBorders>
              <w:top w:val="dotted" w:sz="4" w:space="0" w:color="auto"/>
              <w:bottom w:val="dotted" w:sz="4" w:space="0" w:color="auto"/>
            </w:tcBorders>
            <w:shd w:val="clear" w:color="auto" w:fill="auto"/>
            <w:noWrap/>
            <w:vAlign w:val="center"/>
            <w:hideMark/>
          </w:tcPr>
          <w:p w14:paraId="6BEDFD79"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455</w:t>
            </w:r>
          </w:p>
        </w:tc>
        <w:tc>
          <w:tcPr>
            <w:tcW w:w="1423" w:type="dxa"/>
            <w:tcBorders>
              <w:top w:val="dotted" w:sz="4" w:space="0" w:color="auto"/>
              <w:bottom w:val="dotted" w:sz="4" w:space="0" w:color="auto"/>
            </w:tcBorders>
            <w:shd w:val="clear" w:color="000000" w:fill="FFFFFF"/>
            <w:noWrap/>
            <w:vAlign w:val="center"/>
            <w:hideMark/>
          </w:tcPr>
          <w:p w14:paraId="2421F7C1"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1.759</w:t>
            </w:r>
          </w:p>
        </w:tc>
        <w:tc>
          <w:tcPr>
            <w:tcW w:w="1457" w:type="dxa"/>
            <w:tcBorders>
              <w:top w:val="dotted" w:sz="4" w:space="0" w:color="auto"/>
              <w:bottom w:val="dotted" w:sz="4" w:space="0" w:color="auto"/>
            </w:tcBorders>
            <w:shd w:val="clear" w:color="auto" w:fill="auto"/>
            <w:noWrap/>
            <w:vAlign w:val="center"/>
            <w:hideMark/>
          </w:tcPr>
          <w:p w14:paraId="462A7710" w14:textId="77777777" w:rsidR="008C1F7A" w:rsidRPr="00301868" w:rsidRDefault="008C1F7A" w:rsidP="008C1F7A">
            <w:pPr>
              <w:spacing w:after="0" w:line="240" w:lineRule="auto"/>
              <w:ind w:firstLine="0"/>
              <w:jc w:val="right"/>
              <w:rPr>
                <w:b/>
                <w:bCs/>
                <w:sz w:val="26"/>
                <w:szCs w:val="26"/>
                <w:lang w:val="en-US"/>
              </w:rPr>
            </w:pPr>
            <w:r w:rsidRPr="00301868">
              <w:rPr>
                <w:b/>
                <w:bCs/>
                <w:sz w:val="26"/>
                <w:szCs w:val="26"/>
                <w:lang w:val="en-US"/>
              </w:rPr>
              <w:t>3.042</w:t>
            </w:r>
          </w:p>
        </w:tc>
      </w:tr>
      <w:tr w:rsidR="008C1F7A" w:rsidRPr="00301868" w14:paraId="3FCD90C4" w14:textId="77777777" w:rsidTr="00CB18DF">
        <w:trPr>
          <w:trHeight w:val="435"/>
        </w:trPr>
        <w:tc>
          <w:tcPr>
            <w:tcW w:w="2120" w:type="dxa"/>
            <w:tcBorders>
              <w:top w:val="dotted" w:sz="4" w:space="0" w:color="auto"/>
              <w:bottom w:val="dotted" w:sz="4" w:space="0" w:color="auto"/>
            </w:tcBorders>
            <w:shd w:val="clear" w:color="000000" w:fill="FFFFFF"/>
            <w:noWrap/>
            <w:vAlign w:val="center"/>
            <w:hideMark/>
          </w:tcPr>
          <w:p w14:paraId="6C2556E2" w14:textId="77777777" w:rsidR="008C1F7A" w:rsidRPr="00301868" w:rsidRDefault="008C1F7A" w:rsidP="008C1F7A">
            <w:pPr>
              <w:numPr>
                <w:ilvl w:val="0"/>
                <w:numId w:val="21"/>
              </w:numPr>
              <w:spacing w:before="120" w:after="0" w:line="240" w:lineRule="auto"/>
              <w:ind w:left="162" w:hanging="162"/>
              <w:contextualSpacing/>
              <w:jc w:val="left"/>
              <w:rPr>
                <w:sz w:val="26"/>
                <w:szCs w:val="26"/>
              </w:rPr>
            </w:pPr>
            <w:r w:rsidRPr="00301868">
              <w:rPr>
                <w:sz w:val="26"/>
                <w:szCs w:val="26"/>
              </w:rPr>
              <w:t>Kiểm tra đơn vị sử dụng lao động</w:t>
            </w:r>
          </w:p>
        </w:tc>
        <w:tc>
          <w:tcPr>
            <w:tcW w:w="1390" w:type="dxa"/>
            <w:tcBorders>
              <w:top w:val="dotted" w:sz="4" w:space="0" w:color="auto"/>
              <w:bottom w:val="dotted" w:sz="4" w:space="0" w:color="auto"/>
            </w:tcBorders>
            <w:shd w:val="clear" w:color="auto" w:fill="auto"/>
            <w:noWrap/>
            <w:vAlign w:val="center"/>
            <w:hideMark/>
          </w:tcPr>
          <w:p w14:paraId="6F830599"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7.552</w:t>
            </w:r>
          </w:p>
        </w:tc>
        <w:tc>
          <w:tcPr>
            <w:tcW w:w="1530" w:type="dxa"/>
            <w:tcBorders>
              <w:top w:val="dotted" w:sz="4" w:space="0" w:color="auto"/>
              <w:bottom w:val="dotted" w:sz="4" w:space="0" w:color="auto"/>
            </w:tcBorders>
            <w:shd w:val="clear" w:color="auto" w:fill="auto"/>
            <w:noWrap/>
            <w:vAlign w:val="center"/>
            <w:hideMark/>
          </w:tcPr>
          <w:p w14:paraId="107AB532"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6,427</w:t>
            </w:r>
          </w:p>
        </w:tc>
        <w:tc>
          <w:tcPr>
            <w:tcW w:w="1440" w:type="dxa"/>
            <w:tcBorders>
              <w:top w:val="dotted" w:sz="4" w:space="0" w:color="auto"/>
              <w:bottom w:val="dotted" w:sz="4" w:space="0" w:color="auto"/>
            </w:tcBorders>
            <w:shd w:val="clear" w:color="auto" w:fill="auto"/>
            <w:noWrap/>
            <w:vAlign w:val="center"/>
            <w:hideMark/>
          </w:tcPr>
          <w:p w14:paraId="4E860752"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7.940</w:t>
            </w:r>
          </w:p>
        </w:tc>
        <w:tc>
          <w:tcPr>
            <w:tcW w:w="1423" w:type="dxa"/>
            <w:tcBorders>
              <w:top w:val="dotted" w:sz="4" w:space="0" w:color="auto"/>
              <w:bottom w:val="dotted" w:sz="4" w:space="0" w:color="auto"/>
            </w:tcBorders>
            <w:shd w:val="clear" w:color="000000" w:fill="FFFFFF"/>
            <w:noWrap/>
            <w:vAlign w:val="center"/>
            <w:hideMark/>
          </w:tcPr>
          <w:p w14:paraId="06D3AB8F"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7.900</w:t>
            </w:r>
          </w:p>
        </w:tc>
        <w:tc>
          <w:tcPr>
            <w:tcW w:w="1457" w:type="dxa"/>
            <w:tcBorders>
              <w:top w:val="dotted" w:sz="4" w:space="0" w:color="auto"/>
              <w:bottom w:val="dotted" w:sz="4" w:space="0" w:color="auto"/>
            </w:tcBorders>
            <w:shd w:val="clear" w:color="auto" w:fill="auto"/>
            <w:noWrap/>
            <w:vAlign w:val="center"/>
            <w:hideMark/>
          </w:tcPr>
          <w:p w14:paraId="01694D77" w14:textId="77777777" w:rsidR="008C1F7A" w:rsidRPr="00301868" w:rsidRDefault="008C1F7A" w:rsidP="008C1F7A">
            <w:pPr>
              <w:spacing w:after="0" w:line="240" w:lineRule="auto"/>
              <w:ind w:firstLine="0"/>
              <w:jc w:val="right"/>
              <w:rPr>
                <w:b/>
                <w:bCs/>
                <w:sz w:val="26"/>
                <w:szCs w:val="26"/>
                <w:lang w:val="en-US"/>
              </w:rPr>
            </w:pPr>
            <w:r w:rsidRPr="00301868">
              <w:rPr>
                <w:b/>
                <w:bCs/>
                <w:sz w:val="26"/>
                <w:szCs w:val="26"/>
                <w:lang w:val="en-US"/>
              </w:rPr>
              <w:t>29.819</w:t>
            </w:r>
          </w:p>
        </w:tc>
      </w:tr>
      <w:tr w:rsidR="008C1F7A" w:rsidRPr="00301868" w14:paraId="0CBF6E7C" w14:textId="77777777" w:rsidTr="00CB18DF">
        <w:trPr>
          <w:trHeight w:val="435"/>
        </w:trPr>
        <w:tc>
          <w:tcPr>
            <w:tcW w:w="2120" w:type="dxa"/>
            <w:tcBorders>
              <w:top w:val="dotted" w:sz="4" w:space="0" w:color="auto"/>
              <w:bottom w:val="dotted" w:sz="4" w:space="0" w:color="auto"/>
            </w:tcBorders>
            <w:shd w:val="clear" w:color="000000" w:fill="FFFFFF"/>
            <w:noWrap/>
            <w:vAlign w:val="center"/>
            <w:hideMark/>
          </w:tcPr>
          <w:p w14:paraId="4C37946F" w14:textId="77777777" w:rsidR="008C1F7A" w:rsidRPr="00301868" w:rsidRDefault="008C1F7A" w:rsidP="008C1F7A">
            <w:pPr>
              <w:numPr>
                <w:ilvl w:val="0"/>
                <w:numId w:val="21"/>
              </w:numPr>
              <w:spacing w:before="120" w:after="0" w:line="240" w:lineRule="auto"/>
              <w:ind w:left="162" w:hanging="162"/>
              <w:contextualSpacing/>
              <w:jc w:val="left"/>
              <w:rPr>
                <w:sz w:val="26"/>
                <w:szCs w:val="26"/>
              </w:rPr>
            </w:pPr>
            <w:r w:rsidRPr="00301868">
              <w:rPr>
                <w:sz w:val="26"/>
                <w:szCs w:val="26"/>
              </w:rPr>
              <w:t>Kiểm tra cơ sở khám chữa bệnh</w:t>
            </w:r>
          </w:p>
        </w:tc>
        <w:tc>
          <w:tcPr>
            <w:tcW w:w="1390" w:type="dxa"/>
            <w:tcBorders>
              <w:top w:val="dotted" w:sz="4" w:space="0" w:color="auto"/>
              <w:bottom w:val="dotted" w:sz="4" w:space="0" w:color="auto"/>
            </w:tcBorders>
            <w:shd w:val="clear" w:color="auto" w:fill="auto"/>
            <w:noWrap/>
            <w:vAlign w:val="center"/>
            <w:hideMark/>
          </w:tcPr>
          <w:p w14:paraId="0B46347A"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876</w:t>
            </w:r>
          </w:p>
        </w:tc>
        <w:tc>
          <w:tcPr>
            <w:tcW w:w="1530" w:type="dxa"/>
            <w:tcBorders>
              <w:top w:val="dotted" w:sz="4" w:space="0" w:color="auto"/>
              <w:bottom w:val="dotted" w:sz="4" w:space="0" w:color="auto"/>
            </w:tcBorders>
            <w:shd w:val="clear" w:color="auto" w:fill="auto"/>
            <w:noWrap/>
            <w:vAlign w:val="center"/>
            <w:hideMark/>
          </w:tcPr>
          <w:p w14:paraId="1F57F11B"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752</w:t>
            </w:r>
          </w:p>
        </w:tc>
        <w:tc>
          <w:tcPr>
            <w:tcW w:w="1440" w:type="dxa"/>
            <w:tcBorders>
              <w:top w:val="dotted" w:sz="4" w:space="0" w:color="auto"/>
              <w:bottom w:val="dotted" w:sz="4" w:space="0" w:color="auto"/>
            </w:tcBorders>
            <w:shd w:val="clear" w:color="auto" w:fill="auto"/>
            <w:noWrap/>
            <w:vAlign w:val="center"/>
            <w:hideMark/>
          </w:tcPr>
          <w:p w14:paraId="0BC968E9"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702</w:t>
            </w:r>
          </w:p>
        </w:tc>
        <w:tc>
          <w:tcPr>
            <w:tcW w:w="1423" w:type="dxa"/>
            <w:tcBorders>
              <w:top w:val="dotted" w:sz="4" w:space="0" w:color="auto"/>
              <w:bottom w:val="dotted" w:sz="4" w:space="0" w:color="auto"/>
            </w:tcBorders>
            <w:shd w:val="clear" w:color="000000" w:fill="FFFFFF"/>
            <w:noWrap/>
            <w:vAlign w:val="center"/>
            <w:hideMark/>
          </w:tcPr>
          <w:p w14:paraId="48CA6CCA"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592</w:t>
            </w:r>
          </w:p>
        </w:tc>
        <w:tc>
          <w:tcPr>
            <w:tcW w:w="1457" w:type="dxa"/>
            <w:tcBorders>
              <w:top w:val="dotted" w:sz="4" w:space="0" w:color="auto"/>
              <w:bottom w:val="dotted" w:sz="4" w:space="0" w:color="auto"/>
            </w:tcBorders>
            <w:shd w:val="clear" w:color="auto" w:fill="auto"/>
            <w:noWrap/>
            <w:vAlign w:val="center"/>
            <w:hideMark/>
          </w:tcPr>
          <w:p w14:paraId="18BC596D" w14:textId="77777777" w:rsidR="008C1F7A" w:rsidRPr="00301868" w:rsidRDefault="008C1F7A" w:rsidP="008C1F7A">
            <w:pPr>
              <w:spacing w:after="0" w:line="240" w:lineRule="auto"/>
              <w:ind w:firstLine="0"/>
              <w:jc w:val="right"/>
              <w:rPr>
                <w:b/>
                <w:bCs/>
                <w:sz w:val="26"/>
                <w:szCs w:val="26"/>
                <w:lang w:val="en-US"/>
              </w:rPr>
            </w:pPr>
            <w:r w:rsidRPr="00301868">
              <w:rPr>
                <w:b/>
                <w:bCs/>
                <w:sz w:val="26"/>
                <w:szCs w:val="26"/>
                <w:lang w:val="en-US"/>
              </w:rPr>
              <w:t>2,922</w:t>
            </w:r>
          </w:p>
        </w:tc>
      </w:tr>
      <w:tr w:rsidR="008C1F7A" w:rsidRPr="00301868" w14:paraId="3E93B020" w14:textId="77777777" w:rsidTr="00CB18DF">
        <w:trPr>
          <w:trHeight w:val="435"/>
        </w:trPr>
        <w:tc>
          <w:tcPr>
            <w:tcW w:w="2120" w:type="dxa"/>
            <w:tcBorders>
              <w:top w:val="dotted" w:sz="4" w:space="0" w:color="auto"/>
              <w:bottom w:val="dotted" w:sz="4" w:space="0" w:color="auto"/>
            </w:tcBorders>
            <w:shd w:val="clear" w:color="000000" w:fill="FFFFFF"/>
            <w:noWrap/>
            <w:vAlign w:val="center"/>
            <w:hideMark/>
          </w:tcPr>
          <w:p w14:paraId="26FE5441" w14:textId="77777777" w:rsidR="008C1F7A" w:rsidRPr="00301868" w:rsidRDefault="008C1F7A" w:rsidP="008C1F7A">
            <w:pPr>
              <w:numPr>
                <w:ilvl w:val="0"/>
                <w:numId w:val="21"/>
              </w:numPr>
              <w:spacing w:before="120" w:after="0" w:line="240" w:lineRule="auto"/>
              <w:ind w:left="162" w:hanging="162"/>
              <w:contextualSpacing/>
              <w:jc w:val="left"/>
              <w:rPr>
                <w:sz w:val="26"/>
                <w:szCs w:val="26"/>
              </w:rPr>
            </w:pPr>
            <w:r w:rsidRPr="00301868">
              <w:rPr>
                <w:sz w:val="26"/>
                <w:szCs w:val="26"/>
              </w:rPr>
              <w:t xml:space="preserve">Kiểm tra đại lý </w:t>
            </w:r>
            <w:r w:rsidRPr="00301868">
              <w:rPr>
                <w:sz w:val="26"/>
                <w:szCs w:val="26"/>
              </w:rPr>
              <w:lastRenderedPageBreak/>
              <w:t>thu, đại diện chi trả</w:t>
            </w:r>
          </w:p>
        </w:tc>
        <w:tc>
          <w:tcPr>
            <w:tcW w:w="1390" w:type="dxa"/>
            <w:tcBorders>
              <w:top w:val="dotted" w:sz="4" w:space="0" w:color="auto"/>
              <w:bottom w:val="dotted" w:sz="4" w:space="0" w:color="auto"/>
            </w:tcBorders>
            <w:shd w:val="clear" w:color="auto" w:fill="auto"/>
            <w:noWrap/>
            <w:vAlign w:val="center"/>
            <w:hideMark/>
          </w:tcPr>
          <w:p w14:paraId="05F306DA"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lastRenderedPageBreak/>
              <w:t>3.780</w:t>
            </w:r>
          </w:p>
        </w:tc>
        <w:tc>
          <w:tcPr>
            <w:tcW w:w="1530" w:type="dxa"/>
            <w:tcBorders>
              <w:top w:val="dotted" w:sz="4" w:space="0" w:color="auto"/>
              <w:bottom w:val="dotted" w:sz="4" w:space="0" w:color="auto"/>
            </w:tcBorders>
            <w:shd w:val="clear" w:color="auto" w:fill="auto"/>
            <w:noWrap/>
            <w:vAlign w:val="center"/>
            <w:hideMark/>
          </w:tcPr>
          <w:p w14:paraId="575A8660"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2.491</w:t>
            </w:r>
          </w:p>
        </w:tc>
        <w:tc>
          <w:tcPr>
            <w:tcW w:w="1440" w:type="dxa"/>
            <w:tcBorders>
              <w:top w:val="dotted" w:sz="4" w:space="0" w:color="auto"/>
              <w:bottom w:val="dotted" w:sz="4" w:space="0" w:color="auto"/>
            </w:tcBorders>
            <w:shd w:val="clear" w:color="auto" w:fill="auto"/>
            <w:noWrap/>
            <w:vAlign w:val="center"/>
            <w:hideMark/>
          </w:tcPr>
          <w:p w14:paraId="46E1FF05"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2.038</w:t>
            </w:r>
          </w:p>
        </w:tc>
        <w:tc>
          <w:tcPr>
            <w:tcW w:w="1423" w:type="dxa"/>
            <w:tcBorders>
              <w:top w:val="dotted" w:sz="4" w:space="0" w:color="auto"/>
              <w:bottom w:val="dotted" w:sz="4" w:space="0" w:color="auto"/>
            </w:tcBorders>
            <w:shd w:val="clear" w:color="000000" w:fill="FFFFFF"/>
            <w:noWrap/>
            <w:vAlign w:val="center"/>
            <w:hideMark/>
          </w:tcPr>
          <w:p w14:paraId="67013D1A"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2.265</w:t>
            </w:r>
          </w:p>
        </w:tc>
        <w:tc>
          <w:tcPr>
            <w:tcW w:w="1457" w:type="dxa"/>
            <w:tcBorders>
              <w:top w:val="dotted" w:sz="4" w:space="0" w:color="auto"/>
              <w:bottom w:val="dotted" w:sz="4" w:space="0" w:color="auto"/>
            </w:tcBorders>
            <w:shd w:val="clear" w:color="auto" w:fill="auto"/>
            <w:noWrap/>
            <w:vAlign w:val="center"/>
            <w:hideMark/>
          </w:tcPr>
          <w:p w14:paraId="359209EE" w14:textId="77777777" w:rsidR="008C1F7A" w:rsidRPr="00301868" w:rsidRDefault="008C1F7A" w:rsidP="008C1F7A">
            <w:pPr>
              <w:spacing w:after="0" w:line="240" w:lineRule="auto"/>
              <w:ind w:firstLine="0"/>
              <w:jc w:val="right"/>
              <w:rPr>
                <w:b/>
                <w:bCs/>
                <w:sz w:val="26"/>
                <w:szCs w:val="26"/>
                <w:lang w:val="en-US"/>
              </w:rPr>
            </w:pPr>
            <w:r w:rsidRPr="00301868">
              <w:rPr>
                <w:b/>
                <w:bCs/>
                <w:sz w:val="26"/>
                <w:szCs w:val="26"/>
                <w:lang w:val="en-US"/>
              </w:rPr>
              <w:t>10.574</w:t>
            </w:r>
          </w:p>
        </w:tc>
      </w:tr>
      <w:tr w:rsidR="008C1F7A" w:rsidRPr="00301868" w14:paraId="0E1B9491" w14:textId="77777777" w:rsidTr="00CB18DF">
        <w:trPr>
          <w:trHeight w:val="435"/>
        </w:trPr>
        <w:tc>
          <w:tcPr>
            <w:tcW w:w="2120" w:type="dxa"/>
            <w:tcBorders>
              <w:top w:val="dotted" w:sz="4" w:space="0" w:color="auto"/>
              <w:bottom w:val="dotted" w:sz="4" w:space="0" w:color="auto"/>
            </w:tcBorders>
            <w:shd w:val="clear" w:color="000000" w:fill="FFFFFF"/>
            <w:noWrap/>
            <w:vAlign w:val="center"/>
            <w:hideMark/>
          </w:tcPr>
          <w:p w14:paraId="42D88C19" w14:textId="77777777" w:rsidR="008C1F7A" w:rsidRPr="00301868" w:rsidRDefault="008C1F7A" w:rsidP="008C1F7A">
            <w:pPr>
              <w:numPr>
                <w:ilvl w:val="0"/>
                <w:numId w:val="21"/>
              </w:numPr>
              <w:spacing w:before="120" w:after="0" w:line="240" w:lineRule="auto"/>
              <w:ind w:left="162" w:hanging="162"/>
              <w:contextualSpacing/>
              <w:jc w:val="left"/>
              <w:rPr>
                <w:sz w:val="26"/>
                <w:szCs w:val="26"/>
                <w:lang w:val="en-US"/>
              </w:rPr>
            </w:pPr>
            <w:r w:rsidRPr="00301868">
              <w:rPr>
                <w:sz w:val="26"/>
                <w:szCs w:val="26"/>
                <w:lang w:val="en-US"/>
              </w:rPr>
              <w:lastRenderedPageBreak/>
              <w:t>Thanh tra chuyên ngành</w:t>
            </w:r>
          </w:p>
        </w:tc>
        <w:tc>
          <w:tcPr>
            <w:tcW w:w="1390" w:type="dxa"/>
            <w:tcBorders>
              <w:top w:val="dotted" w:sz="4" w:space="0" w:color="auto"/>
              <w:bottom w:val="dotted" w:sz="4" w:space="0" w:color="auto"/>
            </w:tcBorders>
            <w:shd w:val="clear" w:color="auto" w:fill="auto"/>
            <w:noWrap/>
            <w:vAlign w:val="center"/>
            <w:hideMark/>
          </w:tcPr>
          <w:p w14:paraId="08837812"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1.174</w:t>
            </w:r>
          </w:p>
        </w:tc>
        <w:tc>
          <w:tcPr>
            <w:tcW w:w="1530" w:type="dxa"/>
            <w:tcBorders>
              <w:top w:val="dotted" w:sz="4" w:space="0" w:color="auto"/>
              <w:bottom w:val="dotted" w:sz="4" w:space="0" w:color="auto"/>
            </w:tcBorders>
            <w:shd w:val="clear" w:color="auto" w:fill="auto"/>
            <w:noWrap/>
            <w:vAlign w:val="center"/>
            <w:hideMark/>
          </w:tcPr>
          <w:p w14:paraId="36A20DFA"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4.006</w:t>
            </w:r>
          </w:p>
        </w:tc>
        <w:tc>
          <w:tcPr>
            <w:tcW w:w="1440" w:type="dxa"/>
            <w:tcBorders>
              <w:top w:val="dotted" w:sz="4" w:space="0" w:color="auto"/>
              <w:bottom w:val="dotted" w:sz="4" w:space="0" w:color="auto"/>
            </w:tcBorders>
            <w:shd w:val="clear" w:color="auto" w:fill="auto"/>
            <w:noWrap/>
            <w:vAlign w:val="center"/>
            <w:hideMark/>
          </w:tcPr>
          <w:p w14:paraId="01FEF595"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8.447</w:t>
            </w:r>
          </w:p>
        </w:tc>
        <w:tc>
          <w:tcPr>
            <w:tcW w:w="1423" w:type="dxa"/>
            <w:tcBorders>
              <w:top w:val="dotted" w:sz="4" w:space="0" w:color="auto"/>
              <w:bottom w:val="dotted" w:sz="4" w:space="0" w:color="auto"/>
            </w:tcBorders>
            <w:shd w:val="clear" w:color="000000" w:fill="FFFFFF"/>
            <w:noWrap/>
            <w:vAlign w:val="center"/>
            <w:hideMark/>
          </w:tcPr>
          <w:p w14:paraId="2D200CBA"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9.886</w:t>
            </w:r>
          </w:p>
        </w:tc>
        <w:tc>
          <w:tcPr>
            <w:tcW w:w="1457" w:type="dxa"/>
            <w:tcBorders>
              <w:top w:val="dotted" w:sz="4" w:space="0" w:color="auto"/>
              <w:bottom w:val="dotted" w:sz="4" w:space="0" w:color="auto"/>
            </w:tcBorders>
            <w:shd w:val="clear" w:color="auto" w:fill="auto"/>
            <w:noWrap/>
            <w:vAlign w:val="center"/>
            <w:hideMark/>
          </w:tcPr>
          <w:p w14:paraId="41950CDF" w14:textId="77777777" w:rsidR="008C1F7A" w:rsidRPr="00301868" w:rsidRDefault="008C1F7A" w:rsidP="008C1F7A">
            <w:pPr>
              <w:spacing w:after="0" w:line="240" w:lineRule="auto"/>
              <w:ind w:firstLine="0"/>
              <w:jc w:val="right"/>
              <w:rPr>
                <w:b/>
                <w:bCs/>
                <w:sz w:val="26"/>
                <w:szCs w:val="26"/>
                <w:lang w:val="en-US"/>
              </w:rPr>
            </w:pPr>
            <w:r w:rsidRPr="00301868">
              <w:rPr>
                <w:b/>
                <w:bCs/>
                <w:sz w:val="26"/>
                <w:szCs w:val="26"/>
                <w:lang w:val="en-US"/>
              </w:rPr>
              <w:t>23.513</w:t>
            </w:r>
          </w:p>
        </w:tc>
      </w:tr>
      <w:tr w:rsidR="008C1F7A" w:rsidRPr="00301868" w14:paraId="49D29DA4" w14:textId="77777777" w:rsidTr="00CB18DF">
        <w:trPr>
          <w:trHeight w:val="435"/>
        </w:trPr>
        <w:tc>
          <w:tcPr>
            <w:tcW w:w="2120" w:type="dxa"/>
            <w:tcBorders>
              <w:top w:val="dotted" w:sz="4" w:space="0" w:color="auto"/>
              <w:bottom w:val="single" w:sz="12" w:space="0" w:color="auto"/>
            </w:tcBorders>
            <w:shd w:val="clear" w:color="000000" w:fill="FFFFFF"/>
            <w:noWrap/>
            <w:vAlign w:val="center"/>
            <w:hideMark/>
          </w:tcPr>
          <w:p w14:paraId="531F3213" w14:textId="77777777" w:rsidR="008C1F7A" w:rsidRPr="00301868" w:rsidRDefault="008C1F7A" w:rsidP="008C1F7A">
            <w:pPr>
              <w:numPr>
                <w:ilvl w:val="0"/>
                <w:numId w:val="21"/>
              </w:numPr>
              <w:spacing w:before="120" w:after="0" w:line="240" w:lineRule="auto"/>
              <w:ind w:left="162" w:hanging="162"/>
              <w:contextualSpacing/>
              <w:jc w:val="left"/>
              <w:rPr>
                <w:sz w:val="26"/>
                <w:szCs w:val="26"/>
                <w:lang w:val="en-US"/>
              </w:rPr>
            </w:pPr>
            <w:r w:rsidRPr="00301868">
              <w:rPr>
                <w:sz w:val="26"/>
                <w:szCs w:val="26"/>
                <w:lang w:val="en-US"/>
              </w:rPr>
              <w:t>Phối hợp liên ngành</w:t>
            </w:r>
          </w:p>
        </w:tc>
        <w:tc>
          <w:tcPr>
            <w:tcW w:w="1390" w:type="dxa"/>
            <w:tcBorders>
              <w:top w:val="dotted" w:sz="4" w:space="0" w:color="auto"/>
              <w:bottom w:val="single" w:sz="12" w:space="0" w:color="auto"/>
            </w:tcBorders>
            <w:shd w:val="clear" w:color="auto" w:fill="auto"/>
            <w:noWrap/>
            <w:vAlign w:val="center"/>
            <w:hideMark/>
          </w:tcPr>
          <w:p w14:paraId="6ED0F3F7"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4.907</w:t>
            </w:r>
          </w:p>
        </w:tc>
        <w:tc>
          <w:tcPr>
            <w:tcW w:w="1530" w:type="dxa"/>
            <w:tcBorders>
              <w:top w:val="dotted" w:sz="4" w:space="0" w:color="auto"/>
              <w:bottom w:val="single" w:sz="12" w:space="0" w:color="auto"/>
            </w:tcBorders>
            <w:shd w:val="clear" w:color="auto" w:fill="auto"/>
            <w:noWrap/>
            <w:vAlign w:val="center"/>
            <w:hideMark/>
          </w:tcPr>
          <w:p w14:paraId="612C4E9A"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5.341</w:t>
            </w:r>
          </w:p>
        </w:tc>
        <w:tc>
          <w:tcPr>
            <w:tcW w:w="1440" w:type="dxa"/>
            <w:tcBorders>
              <w:top w:val="dotted" w:sz="4" w:space="0" w:color="auto"/>
              <w:bottom w:val="single" w:sz="12" w:space="0" w:color="auto"/>
            </w:tcBorders>
            <w:shd w:val="clear" w:color="auto" w:fill="auto"/>
            <w:noWrap/>
            <w:vAlign w:val="center"/>
            <w:hideMark/>
          </w:tcPr>
          <w:p w14:paraId="7BD05E28"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5.761</w:t>
            </w:r>
          </w:p>
        </w:tc>
        <w:tc>
          <w:tcPr>
            <w:tcW w:w="1423" w:type="dxa"/>
            <w:tcBorders>
              <w:top w:val="dotted" w:sz="4" w:space="0" w:color="auto"/>
              <w:bottom w:val="single" w:sz="12" w:space="0" w:color="auto"/>
            </w:tcBorders>
            <w:shd w:val="clear" w:color="000000" w:fill="FFFFFF"/>
            <w:noWrap/>
            <w:vAlign w:val="center"/>
            <w:hideMark/>
          </w:tcPr>
          <w:p w14:paraId="03B91A2C" w14:textId="77777777" w:rsidR="008C1F7A" w:rsidRPr="00301868" w:rsidRDefault="008C1F7A" w:rsidP="008C1F7A">
            <w:pPr>
              <w:spacing w:after="0" w:line="240" w:lineRule="auto"/>
              <w:ind w:firstLine="0"/>
              <w:jc w:val="right"/>
              <w:rPr>
                <w:sz w:val="26"/>
                <w:szCs w:val="26"/>
                <w:lang w:val="en-US"/>
              </w:rPr>
            </w:pPr>
            <w:r w:rsidRPr="00301868">
              <w:rPr>
                <w:sz w:val="26"/>
                <w:szCs w:val="26"/>
                <w:lang w:val="en-US"/>
              </w:rPr>
              <w:t>5.934</w:t>
            </w:r>
          </w:p>
        </w:tc>
        <w:tc>
          <w:tcPr>
            <w:tcW w:w="1457" w:type="dxa"/>
            <w:tcBorders>
              <w:top w:val="dotted" w:sz="4" w:space="0" w:color="auto"/>
              <w:bottom w:val="single" w:sz="12" w:space="0" w:color="auto"/>
            </w:tcBorders>
            <w:shd w:val="clear" w:color="auto" w:fill="auto"/>
            <w:noWrap/>
            <w:vAlign w:val="center"/>
            <w:hideMark/>
          </w:tcPr>
          <w:p w14:paraId="6F2DC45A" w14:textId="77777777" w:rsidR="008C1F7A" w:rsidRPr="00301868" w:rsidRDefault="008C1F7A" w:rsidP="008C1F7A">
            <w:pPr>
              <w:spacing w:after="0" w:line="240" w:lineRule="auto"/>
              <w:ind w:firstLine="0"/>
              <w:jc w:val="right"/>
              <w:rPr>
                <w:b/>
                <w:bCs/>
                <w:sz w:val="26"/>
                <w:szCs w:val="26"/>
                <w:lang w:val="en-US"/>
              </w:rPr>
            </w:pPr>
            <w:r w:rsidRPr="00301868">
              <w:rPr>
                <w:b/>
                <w:bCs/>
                <w:sz w:val="26"/>
                <w:szCs w:val="26"/>
                <w:lang w:val="en-US"/>
              </w:rPr>
              <w:t>21.943</w:t>
            </w:r>
          </w:p>
        </w:tc>
      </w:tr>
    </w:tbl>
    <w:p w14:paraId="2FF67A9D" w14:textId="77777777" w:rsidR="008C1F7A" w:rsidRPr="00301868" w:rsidRDefault="008C1F7A" w:rsidP="008C1F7A">
      <w:pPr>
        <w:spacing w:before="60" w:after="0" w:line="240" w:lineRule="auto"/>
        <w:ind w:firstLine="0"/>
        <w:jc w:val="left"/>
        <w:rPr>
          <w:rFonts w:eastAsia="Calibri"/>
          <w:sz w:val="24"/>
          <w:szCs w:val="24"/>
        </w:rPr>
      </w:pPr>
      <w:r w:rsidRPr="00301868">
        <w:rPr>
          <w:rFonts w:eastAsia="Calibri"/>
          <w:i/>
          <w:sz w:val="24"/>
          <w:szCs w:val="24"/>
        </w:rPr>
        <w:t xml:space="preserve">Nguồn: </w:t>
      </w:r>
      <w:r w:rsidRPr="00301868">
        <w:rPr>
          <w:rFonts w:eastAsia="Calibri"/>
          <w:i/>
          <w:sz w:val="24"/>
          <w:szCs w:val="24"/>
        </w:rPr>
        <w:tab/>
      </w:r>
      <w:r w:rsidRPr="00301868">
        <w:rPr>
          <w:rFonts w:eastAsia="Calibri"/>
          <w:sz w:val="24"/>
          <w:szCs w:val="24"/>
        </w:rPr>
        <w:t>Báo cáo của Bảo hiểm xã hội Việt Nam</w:t>
      </w:r>
    </w:p>
    <w:p w14:paraId="2963AF0C" w14:textId="77777777" w:rsidR="008C1F7A" w:rsidRPr="00301868" w:rsidRDefault="008C1F7A" w:rsidP="001875BF">
      <w:pPr>
        <w:rPr>
          <w:rFonts w:eastAsia="Calibri"/>
        </w:rPr>
      </w:pPr>
      <w:r w:rsidRPr="00301868">
        <w:rPr>
          <w:rFonts w:eastAsia="Calibri"/>
        </w:rPr>
        <w:t xml:space="preserve">Theo số liệu báo cáo của BHXH Việt Nam, năm 2015 khi chưa có chức năng thanh tra chuyên ngành về đóng BHXH, BHTN, BHYT thì số nợ đóng BHXH là 7.780,6 triệu đồng, tương ứng với 3,74% số phải thu theo kế hoạch được Chính phủ giao. Đến khi được giao chức năng thanh tra chuyên ngành về đóng BHXH, số nợ đóng BHXH phải tính lãi đã giảm dần với 3,22% vào năm 2016; 3,06% vài năm 2017; 1,7% vào năm 2018; và 1,6% vào năm 2019 so với số phải thu theo kế hoạch được Chính phủ giao. Kết quả công tác thanh tra, kiểm tra chuyên ngành về đóng BHXH được thể hiện trong Biểu 10. </w:t>
      </w:r>
    </w:p>
    <w:p w14:paraId="4196CCD3" w14:textId="1F12510B" w:rsidR="008C1F7A" w:rsidRPr="00301868" w:rsidRDefault="008C1F7A" w:rsidP="008C1F7A">
      <w:pPr>
        <w:spacing w:before="120" w:after="0" w:line="240" w:lineRule="auto"/>
        <w:ind w:firstLine="0"/>
        <w:jc w:val="center"/>
        <w:rPr>
          <w:rFonts w:eastAsia="Calibri"/>
          <w:b/>
        </w:rPr>
      </w:pPr>
      <w:r w:rsidRPr="00301868">
        <w:rPr>
          <w:rFonts w:eastAsia="Calibri"/>
          <w:b/>
        </w:rPr>
        <w:t>Biểu 10: Kết quả của công tác thanh tra, kiểm tra chuyên ngành                                     về đóng BHXH giai đoạn 2016</w:t>
      </w:r>
      <w:r w:rsidR="00CB18DF" w:rsidRPr="00301868">
        <w:rPr>
          <w:rFonts w:eastAsia="Calibri"/>
          <w:b/>
        </w:rPr>
        <w:t>-</w:t>
      </w:r>
      <w:r w:rsidRPr="00301868">
        <w:rPr>
          <w:rFonts w:eastAsia="Calibri"/>
          <w:b/>
        </w:rPr>
        <w:t xml:space="preserve">2019 </w:t>
      </w:r>
    </w:p>
    <w:p w14:paraId="513C917E" w14:textId="77777777" w:rsidR="008C1F7A" w:rsidRPr="00301868" w:rsidRDefault="008C1F7A" w:rsidP="008C1F7A">
      <w:pPr>
        <w:spacing w:after="0" w:line="240" w:lineRule="auto"/>
        <w:ind w:firstLine="0"/>
        <w:jc w:val="center"/>
        <w:rPr>
          <w:rFonts w:eastAsia="Calibri"/>
          <w:b/>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00"/>
        <w:gridCol w:w="1260"/>
        <w:gridCol w:w="1350"/>
        <w:gridCol w:w="1256"/>
        <w:gridCol w:w="1423"/>
        <w:gridCol w:w="1371"/>
      </w:tblGrid>
      <w:tr w:rsidR="008C1F7A" w:rsidRPr="00301868" w14:paraId="684838D1" w14:textId="77777777" w:rsidTr="00CB18DF">
        <w:trPr>
          <w:trHeight w:val="720"/>
        </w:trPr>
        <w:tc>
          <w:tcPr>
            <w:tcW w:w="2700" w:type="dxa"/>
            <w:shd w:val="clear" w:color="000000" w:fill="FFFFFF"/>
            <w:vAlign w:val="center"/>
            <w:hideMark/>
          </w:tcPr>
          <w:p w14:paraId="1BA67C9F" w14:textId="77777777" w:rsidR="008C1F7A" w:rsidRPr="00301868" w:rsidRDefault="008C1F7A" w:rsidP="008C1F7A">
            <w:pPr>
              <w:spacing w:after="0" w:line="240" w:lineRule="auto"/>
              <w:ind w:firstLine="0"/>
              <w:jc w:val="center"/>
              <w:rPr>
                <w:b/>
                <w:sz w:val="24"/>
                <w:szCs w:val="24"/>
                <w:lang w:val="en-US"/>
              </w:rPr>
            </w:pPr>
            <w:r w:rsidRPr="00301868">
              <w:rPr>
                <w:b/>
                <w:sz w:val="24"/>
                <w:szCs w:val="24"/>
                <w:lang w:val="en-US"/>
              </w:rPr>
              <w:t>Chỉ tiêu</w:t>
            </w:r>
          </w:p>
        </w:tc>
        <w:tc>
          <w:tcPr>
            <w:tcW w:w="1260" w:type="dxa"/>
            <w:shd w:val="clear" w:color="auto" w:fill="auto"/>
            <w:noWrap/>
            <w:vAlign w:val="center"/>
            <w:hideMark/>
          </w:tcPr>
          <w:p w14:paraId="5D079E2D" w14:textId="77777777" w:rsidR="008C1F7A" w:rsidRPr="00301868" w:rsidRDefault="008C1F7A" w:rsidP="008C1F7A">
            <w:pPr>
              <w:spacing w:after="0" w:line="240" w:lineRule="auto"/>
              <w:ind w:firstLine="0"/>
              <w:jc w:val="center"/>
              <w:rPr>
                <w:b/>
                <w:sz w:val="24"/>
                <w:szCs w:val="24"/>
                <w:lang w:val="en-US"/>
              </w:rPr>
            </w:pPr>
            <w:r w:rsidRPr="00301868">
              <w:rPr>
                <w:b/>
                <w:sz w:val="24"/>
                <w:szCs w:val="24"/>
                <w:lang w:val="en-US"/>
              </w:rPr>
              <w:t>Năm 2016</w:t>
            </w:r>
          </w:p>
        </w:tc>
        <w:tc>
          <w:tcPr>
            <w:tcW w:w="1350" w:type="dxa"/>
            <w:shd w:val="clear" w:color="auto" w:fill="auto"/>
            <w:noWrap/>
            <w:vAlign w:val="center"/>
            <w:hideMark/>
          </w:tcPr>
          <w:p w14:paraId="084C09F4" w14:textId="77777777" w:rsidR="008C1F7A" w:rsidRPr="00301868" w:rsidRDefault="008C1F7A" w:rsidP="008C1F7A">
            <w:pPr>
              <w:spacing w:after="0" w:line="240" w:lineRule="auto"/>
              <w:ind w:firstLine="0"/>
              <w:jc w:val="center"/>
              <w:rPr>
                <w:b/>
                <w:sz w:val="24"/>
                <w:szCs w:val="24"/>
                <w:lang w:val="en-US"/>
              </w:rPr>
            </w:pPr>
            <w:r w:rsidRPr="00301868">
              <w:rPr>
                <w:b/>
                <w:sz w:val="24"/>
                <w:szCs w:val="24"/>
                <w:lang w:val="en-US"/>
              </w:rPr>
              <w:t>Năm 2017</w:t>
            </w:r>
          </w:p>
        </w:tc>
        <w:tc>
          <w:tcPr>
            <w:tcW w:w="1256" w:type="dxa"/>
            <w:shd w:val="clear" w:color="auto" w:fill="auto"/>
            <w:noWrap/>
            <w:vAlign w:val="center"/>
            <w:hideMark/>
          </w:tcPr>
          <w:p w14:paraId="682694CE" w14:textId="77777777" w:rsidR="008C1F7A" w:rsidRPr="00301868" w:rsidRDefault="008C1F7A" w:rsidP="008C1F7A">
            <w:pPr>
              <w:spacing w:after="0" w:line="240" w:lineRule="auto"/>
              <w:ind w:firstLine="0"/>
              <w:jc w:val="center"/>
              <w:rPr>
                <w:b/>
                <w:sz w:val="24"/>
                <w:szCs w:val="24"/>
                <w:lang w:val="en-US"/>
              </w:rPr>
            </w:pPr>
            <w:r w:rsidRPr="00301868">
              <w:rPr>
                <w:b/>
                <w:sz w:val="24"/>
                <w:szCs w:val="24"/>
                <w:lang w:val="en-US"/>
              </w:rPr>
              <w:t>Năm 2018</w:t>
            </w:r>
          </w:p>
        </w:tc>
        <w:tc>
          <w:tcPr>
            <w:tcW w:w="1423" w:type="dxa"/>
            <w:shd w:val="clear" w:color="000000" w:fill="FFFFFF"/>
            <w:noWrap/>
            <w:vAlign w:val="center"/>
            <w:hideMark/>
          </w:tcPr>
          <w:p w14:paraId="2B278166" w14:textId="77777777" w:rsidR="008C1F7A" w:rsidRPr="00301868" w:rsidRDefault="008C1F7A" w:rsidP="008C1F7A">
            <w:pPr>
              <w:spacing w:after="0" w:line="240" w:lineRule="auto"/>
              <w:ind w:firstLine="0"/>
              <w:jc w:val="center"/>
              <w:rPr>
                <w:b/>
                <w:sz w:val="24"/>
                <w:szCs w:val="24"/>
                <w:lang w:val="en-US"/>
              </w:rPr>
            </w:pPr>
            <w:r w:rsidRPr="00301868">
              <w:rPr>
                <w:b/>
                <w:sz w:val="24"/>
                <w:szCs w:val="24"/>
                <w:lang w:val="en-US"/>
              </w:rPr>
              <w:t>Năm 2019</w:t>
            </w:r>
          </w:p>
        </w:tc>
        <w:tc>
          <w:tcPr>
            <w:tcW w:w="1371" w:type="dxa"/>
            <w:shd w:val="clear" w:color="auto" w:fill="auto"/>
            <w:noWrap/>
            <w:vAlign w:val="center"/>
            <w:hideMark/>
          </w:tcPr>
          <w:p w14:paraId="259BE260" w14:textId="77777777" w:rsidR="008C1F7A" w:rsidRPr="00301868" w:rsidRDefault="008C1F7A" w:rsidP="008C1F7A">
            <w:pPr>
              <w:spacing w:after="0" w:line="240" w:lineRule="auto"/>
              <w:ind w:firstLine="0"/>
              <w:jc w:val="center"/>
              <w:rPr>
                <w:b/>
                <w:bCs/>
                <w:sz w:val="24"/>
                <w:szCs w:val="24"/>
                <w:lang w:val="en-US"/>
              </w:rPr>
            </w:pPr>
            <w:r w:rsidRPr="00301868">
              <w:rPr>
                <w:b/>
                <w:bCs/>
                <w:sz w:val="24"/>
                <w:szCs w:val="24"/>
                <w:lang w:val="en-US"/>
              </w:rPr>
              <w:t>Tổng cộng</w:t>
            </w:r>
          </w:p>
        </w:tc>
      </w:tr>
      <w:tr w:rsidR="008C1F7A" w:rsidRPr="00301868" w14:paraId="67B33F19" w14:textId="77777777" w:rsidTr="00CB18DF">
        <w:trPr>
          <w:trHeight w:val="720"/>
        </w:trPr>
        <w:tc>
          <w:tcPr>
            <w:tcW w:w="2700" w:type="dxa"/>
            <w:shd w:val="clear" w:color="000000" w:fill="FFFFFF"/>
            <w:vAlign w:val="center"/>
            <w:hideMark/>
          </w:tcPr>
          <w:p w14:paraId="35B88FC1" w14:textId="77777777" w:rsidR="008C1F7A" w:rsidRPr="00301868" w:rsidRDefault="008C1F7A" w:rsidP="008C1F7A">
            <w:pPr>
              <w:spacing w:before="80" w:after="100" w:line="240" w:lineRule="auto"/>
              <w:ind w:firstLine="0"/>
              <w:jc w:val="left"/>
              <w:rPr>
                <w:sz w:val="24"/>
                <w:szCs w:val="24"/>
              </w:rPr>
            </w:pPr>
            <w:r w:rsidRPr="00301868">
              <w:rPr>
                <w:sz w:val="24"/>
                <w:szCs w:val="24"/>
              </w:rPr>
              <w:t xml:space="preserve">1. Số lao động chưa tham gia, đóng thiếu thời gian </w:t>
            </w:r>
            <w:r w:rsidRPr="00301868">
              <w:rPr>
                <w:i/>
                <w:sz w:val="24"/>
                <w:szCs w:val="24"/>
              </w:rPr>
              <w:t>(người)</w:t>
            </w:r>
          </w:p>
        </w:tc>
        <w:tc>
          <w:tcPr>
            <w:tcW w:w="1260" w:type="dxa"/>
            <w:shd w:val="clear" w:color="auto" w:fill="auto"/>
            <w:noWrap/>
            <w:vAlign w:val="center"/>
            <w:hideMark/>
          </w:tcPr>
          <w:p w14:paraId="046FB330"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43,731</w:t>
            </w:r>
          </w:p>
        </w:tc>
        <w:tc>
          <w:tcPr>
            <w:tcW w:w="1350" w:type="dxa"/>
            <w:shd w:val="clear" w:color="auto" w:fill="auto"/>
            <w:noWrap/>
            <w:vAlign w:val="center"/>
            <w:hideMark/>
          </w:tcPr>
          <w:p w14:paraId="4C39E445"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42,263</w:t>
            </w:r>
          </w:p>
        </w:tc>
        <w:tc>
          <w:tcPr>
            <w:tcW w:w="1256" w:type="dxa"/>
            <w:shd w:val="clear" w:color="auto" w:fill="auto"/>
            <w:noWrap/>
            <w:vAlign w:val="center"/>
            <w:hideMark/>
          </w:tcPr>
          <w:p w14:paraId="63F70EDE"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48,562</w:t>
            </w:r>
          </w:p>
        </w:tc>
        <w:tc>
          <w:tcPr>
            <w:tcW w:w="1423" w:type="dxa"/>
            <w:shd w:val="clear" w:color="000000" w:fill="FFFFFF"/>
            <w:noWrap/>
            <w:vAlign w:val="center"/>
            <w:hideMark/>
          </w:tcPr>
          <w:p w14:paraId="180258C1"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38,411</w:t>
            </w:r>
          </w:p>
        </w:tc>
        <w:tc>
          <w:tcPr>
            <w:tcW w:w="1371" w:type="dxa"/>
            <w:shd w:val="clear" w:color="auto" w:fill="auto"/>
            <w:noWrap/>
            <w:vAlign w:val="center"/>
            <w:hideMark/>
          </w:tcPr>
          <w:p w14:paraId="2D13B27D" w14:textId="77777777" w:rsidR="008C1F7A" w:rsidRPr="00301868" w:rsidRDefault="008C1F7A" w:rsidP="008C1F7A">
            <w:pPr>
              <w:spacing w:after="0" w:line="240" w:lineRule="auto"/>
              <w:ind w:firstLine="0"/>
              <w:jc w:val="right"/>
              <w:rPr>
                <w:b/>
                <w:bCs/>
                <w:sz w:val="24"/>
                <w:szCs w:val="24"/>
                <w:lang w:val="en-US"/>
              </w:rPr>
            </w:pPr>
            <w:r w:rsidRPr="00301868">
              <w:rPr>
                <w:b/>
                <w:bCs/>
                <w:sz w:val="24"/>
                <w:szCs w:val="24"/>
                <w:lang w:val="en-US"/>
              </w:rPr>
              <w:t>172,967</w:t>
            </w:r>
          </w:p>
        </w:tc>
      </w:tr>
      <w:tr w:rsidR="008C1F7A" w:rsidRPr="00301868" w14:paraId="77C19005" w14:textId="77777777" w:rsidTr="00CB18DF">
        <w:trPr>
          <w:trHeight w:val="870"/>
        </w:trPr>
        <w:tc>
          <w:tcPr>
            <w:tcW w:w="2700" w:type="dxa"/>
            <w:shd w:val="clear" w:color="000000" w:fill="FFFFFF"/>
            <w:vAlign w:val="center"/>
            <w:hideMark/>
          </w:tcPr>
          <w:p w14:paraId="62888C2E" w14:textId="77777777" w:rsidR="008C1F7A" w:rsidRPr="00301868" w:rsidRDefault="008C1F7A" w:rsidP="008C1F7A">
            <w:pPr>
              <w:spacing w:before="80" w:after="100" w:line="240" w:lineRule="auto"/>
              <w:ind w:firstLine="0"/>
              <w:jc w:val="left"/>
              <w:rPr>
                <w:sz w:val="24"/>
                <w:szCs w:val="24"/>
                <w:lang w:val="en-US"/>
              </w:rPr>
            </w:pPr>
            <w:r w:rsidRPr="00301868">
              <w:rPr>
                <w:sz w:val="24"/>
                <w:szCs w:val="24"/>
                <w:lang w:val="en-US"/>
              </w:rPr>
              <w:t xml:space="preserve">2. Số tiền truy đóng do chưa tham gia, đóng thiếu thời gian </w:t>
            </w:r>
            <w:r w:rsidRPr="00301868">
              <w:rPr>
                <w:i/>
                <w:sz w:val="24"/>
                <w:szCs w:val="24"/>
                <w:lang w:val="en-US"/>
              </w:rPr>
              <w:t>(triệu đồng)</w:t>
            </w:r>
          </w:p>
        </w:tc>
        <w:tc>
          <w:tcPr>
            <w:tcW w:w="1260" w:type="dxa"/>
            <w:shd w:val="clear" w:color="auto" w:fill="auto"/>
            <w:noWrap/>
            <w:vAlign w:val="center"/>
            <w:hideMark/>
          </w:tcPr>
          <w:p w14:paraId="2B76A258"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23,925</w:t>
            </w:r>
          </w:p>
        </w:tc>
        <w:tc>
          <w:tcPr>
            <w:tcW w:w="1350" w:type="dxa"/>
            <w:shd w:val="clear" w:color="auto" w:fill="auto"/>
            <w:noWrap/>
            <w:vAlign w:val="center"/>
            <w:hideMark/>
          </w:tcPr>
          <w:p w14:paraId="013ED773"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88,163</w:t>
            </w:r>
          </w:p>
        </w:tc>
        <w:tc>
          <w:tcPr>
            <w:tcW w:w="1256" w:type="dxa"/>
            <w:shd w:val="clear" w:color="auto" w:fill="auto"/>
            <w:noWrap/>
            <w:vAlign w:val="center"/>
            <w:hideMark/>
          </w:tcPr>
          <w:p w14:paraId="62DC0335"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140,769</w:t>
            </w:r>
          </w:p>
        </w:tc>
        <w:tc>
          <w:tcPr>
            <w:tcW w:w="1423" w:type="dxa"/>
            <w:shd w:val="clear" w:color="000000" w:fill="FFFFFF"/>
            <w:noWrap/>
            <w:vAlign w:val="center"/>
            <w:hideMark/>
          </w:tcPr>
          <w:p w14:paraId="2D73FD72"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244,359</w:t>
            </w:r>
          </w:p>
        </w:tc>
        <w:tc>
          <w:tcPr>
            <w:tcW w:w="1371" w:type="dxa"/>
            <w:shd w:val="clear" w:color="auto" w:fill="auto"/>
            <w:noWrap/>
            <w:vAlign w:val="center"/>
            <w:hideMark/>
          </w:tcPr>
          <w:p w14:paraId="55CEC0A6" w14:textId="77777777" w:rsidR="008C1F7A" w:rsidRPr="00301868" w:rsidRDefault="008C1F7A" w:rsidP="008C1F7A">
            <w:pPr>
              <w:spacing w:after="0" w:line="240" w:lineRule="auto"/>
              <w:ind w:firstLine="0"/>
              <w:jc w:val="right"/>
              <w:rPr>
                <w:b/>
                <w:bCs/>
                <w:sz w:val="24"/>
                <w:szCs w:val="24"/>
                <w:lang w:val="en-US"/>
              </w:rPr>
            </w:pPr>
            <w:r w:rsidRPr="00301868">
              <w:rPr>
                <w:b/>
                <w:bCs/>
                <w:sz w:val="24"/>
                <w:szCs w:val="24"/>
                <w:lang w:val="en-US"/>
              </w:rPr>
              <w:t>497,216</w:t>
            </w:r>
          </w:p>
        </w:tc>
      </w:tr>
      <w:tr w:rsidR="008C1F7A" w:rsidRPr="00301868" w14:paraId="7DF7AA8F" w14:textId="77777777" w:rsidTr="00CB18DF">
        <w:trPr>
          <w:trHeight w:val="465"/>
        </w:trPr>
        <w:tc>
          <w:tcPr>
            <w:tcW w:w="2700" w:type="dxa"/>
            <w:shd w:val="clear" w:color="000000" w:fill="FFFFFF"/>
            <w:noWrap/>
            <w:vAlign w:val="center"/>
            <w:hideMark/>
          </w:tcPr>
          <w:p w14:paraId="57BF0959" w14:textId="77777777" w:rsidR="008C1F7A" w:rsidRPr="00301868" w:rsidRDefault="008C1F7A" w:rsidP="008C1F7A">
            <w:pPr>
              <w:spacing w:before="80" w:after="100" w:line="240" w:lineRule="auto"/>
              <w:ind w:firstLine="0"/>
              <w:jc w:val="left"/>
              <w:rPr>
                <w:sz w:val="24"/>
                <w:szCs w:val="24"/>
              </w:rPr>
            </w:pPr>
            <w:r w:rsidRPr="00301868">
              <w:rPr>
                <w:sz w:val="24"/>
                <w:szCs w:val="24"/>
              </w:rPr>
              <w:t xml:space="preserve">3. Số lao động đóng không đủ mức </w:t>
            </w:r>
            <w:r w:rsidRPr="00301868">
              <w:rPr>
                <w:i/>
                <w:sz w:val="24"/>
                <w:szCs w:val="24"/>
              </w:rPr>
              <w:t>(người)</w:t>
            </w:r>
          </w:p>
        </w:tc>
        <w:tc>
          <w:tcPr>
            <w:tcW w:w="1260" w:type="dxa"/>
            <w:shd w:val="clear" w:color="auto" w:fill="auto"/>
            <w:noWrap/>
            <w:vAlign w:val="center"/>
            <w:hideMark/>
          </w:tcPr>
          <w:p w14:paraId="56D68D26"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29,645</w:t>
            </w:r>
          </w:p>
        </w:tc>
        <w:tc>
          <w:tcPr>
            <w:tcW w:w="1350" w:type="dxa"/>
            <w:shd w:val="clear" w:color="auto" w:fill="auto"/>
            <w:noWrap/>
            <w:vAlign w:val="center"/>
            <w:hideMark/>
          </w:tcPr>
          <w:p w14:paraId="7FF1C145"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50,734</w:t>
            </w:r>
          </w:p>
        </w:tc>
        <w:tc>
          <w:tcPr>
            <w:tcW w:w="1256" w:type="dxa"/>
            <w:shd w:val="clear" w:color="auto" w:fill="auto"/>
            <w:noWrap/>
            <w:vAlign w:val="center"/>
            <w:hideMark/>
          </w:tcPr>
          <w:p w14:paraId="7890656E"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48,689</w:t>
            </w:r>
          </w:p>
        </w:tc>
        <w:tc>
          <w:tcPr>
            <w:tcW w:w="1423" w:type="dxa"/>
            <w:shd w:val="clear" w:color="000000" w:fill="FFFFFF"/>
            <w:noWrap/>
            <w:vAlign w:val="center"/>
            <w:hideMark/>
          </w:tcPr>
          <w:p w14:paraId="5690266B"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44,688</w:t>
            </w:r>
          </w:p>
        </w:tc>
        <w:tc>
          <w:tcPr>
            <w:tcW w:w="1371" w:type="dxa"/>
            <w:shd w:val="clear" w:color="auto" w:fill="auto"/>
            <w:noWrap/>
            <w:vAlign w:val="center"/>
            <w:hideMark/>
          </w:tcPr>
          <w:p w14:paraId="731EC1A4" w14:textId="77777777" w:rsidR="008C1F7A" w:rsidRPr="00301868" w:rsidRDefault="008C1F7A" w:rsidP="008C1F7A">
            <w:pPr>
              <w:spacing w:after="0" w:line="240" w:lineRule="auto"/>
              <w:ind w:firstLine="0"/>
              <w:jc w:val="right"/>
              <w:rPr>
                <w:b/>
                <w:bCs/>
                <w:sz w:val="24"/>
                <w:szCs w:val="24"/>
                <w:lang w:val="en-US"/>
              </w:rPr>
            </w:pPr>
            <w:r w:rsidRPr="00301868">
              <w:rPr>
                <w:b/>
                <w:bCs/>
                <w:sz w:val="24"/>
                <w:szCs w:val="24"/>
                <w:lang w:val="en-US"/>
              </w:rPr>
              <w:t>173,756</w:t>
            </w:r>
          </w:p>
        </w:tc>
      </w:tr>
      <w:tr w:rsidR="008C1F7A" w:rsidRPr="00301868" w14:paraId="7D209819" w14:textId="77777777" w:rsidTr="00CB18DF">
        <w:trPr>
          <w:trHeight w:val="435"/>
        </w:trPr>
        <w:tc>
          <w:tcPr>
            <w:tcW w:w="2700" w:type="dxa"/>
            <w:tcBorders>
              <w:bottom w:val="single" w:sz="4" w:space="0" w:color="auto"/>
            </w:tcBorders>
            <w:shd w:val="clear" w:color="000000" w:fill="FFFFFF"/>
            <w:noWrap/>
            <w:vAlign w:val="center"/>
            <w:hideMark/>
          </w:tcPr>
          <w:p w14:paraId="21572510" w14:textId="77777777" w:rsidR="008C1F7A" w:rsidRPr="00301868" w:rsidRDefault="008C1F7A" w:rsidP="008C1F7A">
            <w:pPr>
              <w:spacing w:before="80" w:after="100" w:line="240" w:lineRule="auto"/>
              <w:ind w:firstLine="0"/>
              <w:jc w:val="left"/>
              <w:rPr>
                <w:sz w:val="24"/>
                <w:szCs w:val="24"/>
              </w:rPr>
            </w:pPr>
            <w:r w:rsidRPr="00301868">
              <w:rPr>
                <w:sz w:val="24"/>
                <w:szCs w:val="24"/>
              </w:rPr>
              <w:t xml:space="preserve">4. Số tiền truy đóng do đóng không đủ mức </w:t>
            </w:r>
            <w:r w:rsidRPr="00301868">
              <w:rPr>
                <w:i/>
                <w:sz w:val="24"/>
                <w:szCs w:val="24"/>
              </w:rPr>
              <w:t>(triệu đồng)</w:t>
            </w:r>
          </w:p>
        </w:tc>
        <w:tc>
          <w:tcPr>
            <w:tcW w:w="1260" w:type="dxa"/>
            <w:tcBorders>
              <w:bottom w:val="single" w:sz="4" w:space="0" w:color="auto"/>
            </w:tcBorders>
            <w:shd w:val="clear" w:color="auto" w:fill="auto"/>
            <w:noWrap/>
            <w:vAlign w:val="center"/>
            <w:hideMark/>
          </w:tcPr>
          <w:p w14:paraId="2735AD0F"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10,688</w:t>
            </w:r>
          </w:p>
        </w:tc>
        <w:tc>
          <w:tcPr>
            <w:tcW w:w="1350" w:type="dxa"/>
            <w:tcBorders>
              <w:bottom w:val="single" w:sz="4" w:space="0" w:color="auto"/>
            </w:tcBorders>
            <w:shd w:val="clear" w:color="auto" w:fill="auto"/>
            <w:noWrap/>
            <w:vAlign w:val="center"/>
            <w:hideMark/>
          </w:tcPr>
          <w:p w14:paraId="513CCE8C"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47,349</w:t>
            </w:r>
          </w:p>
        </w:tc>
        <w:tc>
          <w:tcPr>
            <w:tcW w:w="1256" w:type="dxa"/>
            <w:tcBorders>
              <w:bottom w:val="single" w:sz="4" w:space="0" w:color="auto"/>
            </w:tcBorders>
            <w:shd w:val="clear" w:color="auto" w:fill="auto"/>
            <w:noWrap/>
            <w:vAlign w:val="center"/>
            <w:hideMark/>
          </w:tcPr>
          <w:p w14:paraId="24CCB03F"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54,987</w:t>
            </w:r>
          </w:p>
        </w:tc>
        <w:tc>
          <w:tcPr>
            <w:tcW w:w="1423" w:type="dxa"/>
            <w:tcBorders>
              <w:bottom w:val="single" w:sz="4" w:space="0" w:color="auto"/>
            </w:tcBorders>
            <w:shd w:val="clear" w:color="000000" w:fill="FFFFFF"/>
            <w:noWrap/>
            <w:vAlign w:val="center"/>
            <w:hideMark/>
          </w:tcPr>
          <w:p w14:paraId="5B921D21"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126,344</w:t>
            </w:r>
          </w:p>
        </w:tc>
        <w:tc>
          <w:tcPr>
            <w:tcW w:w="1371" w:type="dxa"/>
            <w:tcBorders>
              <w:bottom w:val="single" w:sz="4" w:space="0" w:color="auto"/>
            </w:tcBorders>
            <w:shd w:val="clear" w:color="auto" w:fill="auto"/>
            <w:noWrap/>
            <w:vAlign w:val="center"/>
            <w:hideMark/>
          </w:tcPr>
          <w:p w14:paraId="0F745654" w14:textId="77777777" w:rsidR="008C1F7A" w:rsidRPr="00301868" w:rsidRDefault="008C1F7A" w:rsidP="008C1F7A">
            <w:pPr>
              <w:spacing w:after="0" w:line="240" w:lineRule="auto"/>
              <w:ind w:firstLine="0"/>
              <w:jc w:val="right"/>
              <w:rPr>
                <w:b/>
                <w:bCs/>
                <w:sz w:val="24"/>
                <w:szCs w:val="24"/>
                <w:lang w:val="en-US"/>
              </w:rPr>
            </w:pPr>
            <w:r w:rsidRPr="00301868">
              <w:rPr>
                <w:b/>
                <w:bCs/>
                <w:sz w:val="24"/>
                <w:szCs w:val="24"/>
                <w:lang w:val="en-US"/>
              </w:rPr>
              <w:t>239,368</w:t>
            </w:r>
          </w:p>
        </w:tc>
      </w:tr>
      <w:tr w:rsidR="008C1F7A" w:rsidRPr="00301868" w14:paraId="15699E82" w14:textId="77777777" w:rsidTr="00CB18DF">
        <w:trPr>
          <w:trHeight w:val="435"/>
        </w:trPr>
        <w:tc>
          <w:tcPr>
            <w:tcW w:w="2700" w:type="dxa"/>
            <w:tcBorders>
              <w:top w:val="single" w:sz="4" w:space="0" w:color="auto"/>
              <w:bottom w:val="dotted" w:sz="4" w:space="0" w:color="auto"/>
            </w:tcBorders>
            <w:shd w:val="clear" w:color="000000" w:fill="FFFFFF"/>
            <w:noWrap/>
            <w:vAlign w:val="center"/>
            <w:hideMark/>
          </w:tcPr>
          <w:p w14:paraId="6677F123" w14:textId="77777777" w:rsidR="008C1F7A" w:rsidRPr="00301868" w:rsidRDefault="008C1F7A" w:rsidP="008C1F7A">
            <w:pPr>
              <w:spacing w:before="80" w:after="100" w:line="240" w:lineRule="auto"/>
              <w:ind w:firstLine="0"/>
              <w:jc w:val="left"/>
              <w:rPr>
                <w:sz w:val="24"/>
                <w:szCs w:val="24"/>
              </w:rPr>
            </w:pPr>
            <w:r w:rsidRPr="00301868">
              <w:rPr>
                <w:sz w:val="24"/>
                <w:szCs w:val="24"/>
              </w:rPr>
              <w:t xml:space="preserve">5. Số nợ yêu cầu truy nộp </w:t>
            </w:r>
            <w:r w:rsidRPr="00301868">
              <w:rPr>
                <w:i/>
                <w:sz w:val="24"/>
                <w:szCs w:val="24"/>
              </w:rPr>
              <w:t>(triệu đồng)</w:t>
            </w:r>
          </w:p>
        </w:tc>
        <w:tc>
          <w:tcPr>
            <w:tcW w:w="1260" w:type="dxa"/>
            <w:tcBorders>
              <w:top w:val="single" w:sz="4" w:space="0" w:color="auto"/>
              <w:bottom w:val="dotted" w:sz="4" w:space="0" w:color="auto"/>
            </w:tcBorders>
            <w:shd w:val="clear" w:color="auto" w:fill="auto"/>
            <w:noWrap/>
            <w:vAlign w:val="center"/>
            <w:hideMark/>
          </w:tcPr>
          <w:p w14:paraId="226AC7E0"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194,061</w:t>
            </w:r>
          </w:p>
        </w:tc>
        <w:tc>
          <w:tcPr>
            <w:tcW w:w="1350" w:type="dxa"/>
            <w:tcBorders>
              <w:top w:val="single" w:sz="4" w:space="0" w:color="auto"/>
              <w:bottom w:val="dotted" w:sz="4" w:space="0" w:color="auto"/>
            </w:tcBorders>
            <w:shd w:val="clear" w:color="auto" w:fill="auto"/>
            <w:noWrap/>
            <w:vAlign w:val="center"/>
            <w:hideMark/>
          </w:tcPr>
          <w:p w14:paraId="75828F06"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2,776,267</w:t>
            </w:r>
          </w:p>
        </w:tc>
        <w:tc>
          <w:tcPr>
            <w:tcW w:w="1256" w:type="dxa"/>
            <w:tcBorders>
              <w:top w:val="single" w:sz="4" w:space="0" w:color="auto"/>
              <w:bottom w:val="dotted" w:sz="4" w:space="0" w:color="auto"/>
            </w:tcBorders>
            <w:shd w:val="clear" w:color="auto" w:fill="auto"/>
            <w:noWrap/>
            <w:vAlign w:val="center"/>
            <w:hideMark/>
          </w:tcPr>
          <w:p w14:paraId="2CB5D14B"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3,815,230</w:t>
            </w:r>
          </w:p>
        </w:tc>
        <w:tc>
          <w:tcPr>
            <w:tcW w:w="1423" w:type="dxa"/>
            <w:tcBorders>
              <w:top w:val="single" w:sz="4" w:space="0" w:color="auto"/>
              <w:bottom w:val="dotted" w:sz="4" w:space="0" w:color="auto"/>
            </w:tcBorders>
            <w:shd w:val="clear" w:color="000000" w:fill="FFFFFF"/>
            <w:noWrap/>
            <w:vAlign w:val="center"/>
            <w:hideMark/>
          </w:tcPr>
          <w:p w14:paraId="562AE451"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3,251,806</w:t>
            </w:r>
          </w:p>
        </w:tc>
        <w:tc>
          <w:tcPr>
            <w:tcW w:w="1371" w:type="dxa"/>
            <w:tcBorders>
              <w:top w:val="single" w:sz="4" w:space="0" w:color="auto"/>
              <w:bottom w:val="dotted" w:sz="4" w:space="0" w:color="auto"/>
            </w:tcBorders>
            <w:shd w:val="clear" w:color="auto" w:fill="auto"/>
            <w:noWrap/>
            <w:vAlign w:val="center"/>
            <w:hideMark/>
          </w:tcPr>
          <w:p w14:paraId="4685C880" w14:textId="77777777" w:rsidR="008C1F7A" w:rsidRPr="00301868" w:rsidRDefault="008C1F7A" w:rsidP="008C1F7A">
            <w:pPr>
              <w:spacing w:after="0" w:line="240" w:lineRule="auto"/>
              <w:ind w:firstLine="0"/>
              <w:jc w:val="right"/>
              <w:rPr>
                <w:b/>
                <w:bCs/>
                <w:sz w:val="24"/>
                <w:szCs w:val="24"/>
                <w:lang w:val="en-US"/>
              </w:rPr>
            </w:pPr>
            <w:r w:rsidRPr="00301868">
              <w:rPr>
                <w:b/>
                <w:bCs/>
                <w:sz w:val="24"/>
                <w:szCs w:val="24"/>
                <w:lang w:val="en-US"/>
              </w:rPr>
              <w:t>10,037,364</w:t>
            </w:r>
          </w:p>
        </w:tc>
      </w:tr>
      <w:tr w:rsidR="008C1F7A" w:rsidRPr="00301868" w14:paraId="118C5A54" w14:textId="77777777" w:rsidTr="00CB18DF">
        <w:trPr>
          <w:trHeight w:val="435"/>
        </w:trPr>
        <w:tc>
          <w:tcPr>
            <w:tcW w:w="2700" w:type="dxa"/>
            <w:tcBorders>
              <w:top w:val="dotted" w:sz="4" w:space="0" w:color="auto"/>
              <w:bottom w:val="single" w:sz="4" w:space="0" w:color="auto"/>
            </w:tcBorders>
            <w:shd w:val="clear" w:color="000000" w:fill="FFFFFF"/>
            <w:noWrap/>
            <w:vAlign w:val="center"/>
            <w:hideMark/>
          </w:tcPr>
          <w:p w14:paraId="0FF2AA0F" w14:textId="77777777" w:rsidR="008C1F7A" w:rsidRPr="00301868" w:rsidRDefault="008C1F7A" w:rsidP="008C1F7A">
            <w:pPr>
              <w:spacing w:before="80" w:after="100" w:line="240" w:lineRule="auto"/>
              <w:ind w:firstLine="0"/>
              <w:jc w:val="left"/>
              <w:rPr>
                <w:i/>
                <w:iCs/>
                <w:sz w:val="24"/>
                <w:szCs w:val="24"/>
                <w:lang w:val="en-US"/>
              </w:rPr>
            </w:pPr>
            <w:r w:rsidRPr="00301868">
              <w:rPr>
                <w:i/>
                <w:iCs/>
                <w:sz w:val="24"/>
                <w:szCs w:val="24"/>
                <w:lang w:val="en-US"/>
              </w:rPr>
              <w:t xml:space="preserve">           Trong đó đã nộp</w:t>
            </w:r>
          </w:p>
        </w:tc>
        <w:tc>
          <w:tcPr>
            <w:tcW w:w="1260" w:type="dxa"/>
            <w:tcBorders>
              <w:top w:val="dotted" w:sz="4" w:space="0" w:color="auto"/>
              <w:bottom w:val="single" w:sz="4" w:space="0" w:color="auto"/>
            </w:tcBorders>
            <w:shd w:val="clear" w:color="auto" w:fill="auto"/>
            <w:noWrap/>
            <w:vAlign w:val="center"/>
            <w:hideMark/>
          </w:tcPr>
          <w:p w14:paraId="6B72CA34"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 </w:t>
            </w:r>
          </w:p>
        </w:tc>
        <w:tc>
          <w:tcPr>
            <w:tcW w:w="1350" w:type="dxa"/>
            <w:tcBorders>
              <w:top w:val="dotted" w:sz="4" w:space="0" w:color="auto"/>
              <w:bottom w:val="single" w:sz="4" w:space="0" w:color="auto"/>
            </w:tcBorders>
            <w:shd w:val="clear" w:color="auto" w:fill="auto"/>
            <w:noWrap/>
            <w:vAlign w:val="center"/>
            <w:hideMark/>
          </w:tcPr>
          <w:p w14:paraId="2DC4150B" w14:textId="77777777" w:rsidR="008C1F7A" w:rsidRPr="00301868" w:rsidRDefault="008C1F7A" w:rsidP="008C1F7A">
            <w:pPr>
              <w:spacing w:after="0" w:line="240" w:lineRule="auto"/>
              <w:ind w:firstLine="0"/>
              <w:jc w:val="right"/>
              <w:rPr>
                <w:i/>
                <w:sz w:val="24"/>
                <w:szCs w:val="24"/>
                <w:lang w:val="en-US"/>
              </w:rPr>
            </w:pPr>
            <w:r w:rsidRPr="00301868">
              <w:rPr>
                <w:i/>
                <w:sz w:val="24"/>
                <w:szCs w:val="24"/>
                <w:lang w:val="en-US"/>
              </w:rPr>
              <w:t>1,463,957</w:t>
            </w:r>
          </w:p>
        </w:tc>
        <w:tc>
          <w:tcPr>
            <w:tcW w:w="1256" w:type="dxa"/>
            <w:tcBorders>
              <w:top w:val="dotted" w:sz="4" w:space="0" w:color="auto"/>
              <w:bottom w:val="single" w:sz="4" w:space="0" w:color="auto"/>
            </w:tcBorders>
            <w:shd w:val="clear" w:color="auto" w:fill="auto"/>
            <w:noWrap/>
            <w:vAlign w:val="center"/>
            <w:hideMark/>
          </w:tcPr>
          <w:p w14:paraId="56680D0E" w14:textId="77777777" w:rsidR="008C1F7A" w:rsidRPr="00301868" w:rsidRDefault="008C1F7A" w:rsidP="008C1F7A">
            <w:pPr>
              <w:spacing w:after="0" w:line="240" w:lineRule="auto"/>
              <w:ind w:firstLine="0"/>
              <w:jc w:val="right"/>
              <w:rPr>
                <w:i/>
                <w:sz w:val="24"/>
                <w:szCs w:val="24"/>
                <w:lang w:val="en-US"/>
              </w:rPr>
            </w:pPr>
            <w:r w:rsidRPr="00301868">
              <w:rPr>
                <w:i/>
                <w:sz w:val="24"/>
                <w:szCs w:val="24"/>
                <w:lang w:val="en-US"/>
              </w:rPr>
              <w:t>2,121,369</w:t>
            </w:r>
          </w:p>
        </w:tc>
        <w:tc>
          <w:tcPr>
            <w:tcW w:w="1423" w:type="dxa"/>
            <w:tcBorders>
              <w:top w:val="dotted" w:sz="4" w:space="0" w:color="auto"/>
              <w:bottom w:val="single" w:sz="4" w:space="0" w:color="auto"/>
            </w:tcBorders>
            <w:shd w:val="clear" w:color="000000" w:fill="FFFFFF"/>
            <w:noWrap/>
            <w:vAlign w:val="center"/>
            <w:hideMark/>
          </w:tcPr>
          <w:p w14:paraId="70C9A58E" w14:textId="77777777" w:rsidR="008C1F7A" w:rsidRPr="00301868" w:rsidRDefault="008C1F7A" w:rsidP="008C1F7A">
            <w:pPr>
              <w:spacing w:after="0" w:line="240" w:lineRule="auto"/>
              <w:ind w:firstLine="0"/>
              <w:jc w:val="right"/>
              <w:rPr>
                <w:i/>
                <w:sz w:val="24"/>
                <w:szCs w:val="24"/>
                <w:lang w:val="en-US"/>
              </w:rPr>
            </w:pPr>
            <w:r w:rsidRPr="00301868">
              <w:rPr>
                <w:i/>
                <w:sz w:val="24"/>
                <w:szCs w:val="24"/>
                <w:lang w:val="en-US"/>
              </w:rPr>
              <w:t>2,295,346</w:t>
            </w:r>
          </w:p>
        </w:tc>
        <w:tc>
          <w:tcPr>
            <w:tcW w:w="1371" w:type="dxa"/>
            <w:tcBorders>
              <w:top w:val="dotted" w:sz="4" w:space="0" w:color="auto"/>
              <w:bottom w:val="single" w:sz="4" w:space="0" w:color="auto"/>
            </w:tcBorders>
            <w:shd w:val="clear" w:color="auto" w:fill="auto"/>
            <w:noWrap/>
            <w:vAlign w:val="center"/>
            <w:hideMark/>
          </w:tcPr>
          <w:p w14:paraId="02E11FC4" w14:textId="77777777" w:rsidR="008C1F7A" w:rsidRPr="00301868" w:rsidRDefault="008C1F7A" w:rsidP="008C1F7A">
            <w:pPr>
              <w:spacing w:after="0" w:line="240" w:lineRule="auto"/>
              <w:ind w:firstLine="0"/>
              <w:jc w:val="right"/>
              <w:rPr>
                <w:b/>
                <w:bCs/>
                <w:i/>
                <w:sz w:val="24"/>
                <w:szCs w:val="24"/>
                <w:lang w:val="en-US"/>
              </w:rPr>
            </w:pPr>
            <w:r w:rsidRPr="00301868">
              <w:rPr>
                <w:b/>
                <w:bCs/>
                <w:i/>
                <w:sz w:val="24"/>
                <w:szCs w:val="24"/>
                <w:lang w:val="en-US"/>
              </w:rPr>
              <w:t>5,880,672</w:t>
            </w:r>
          </w:p>
        </w:tc>
      </w:tr>
      <w:tr w:rsidR="008C1F7A" w:rsidRPr="00301868" w14:paraId="4E520430" w14:textId="77777777" w:rsidTr="00CB18DF">
        <w:trPr>
          <w:trHeight w:val="435"/>
        </w:trPr>
        <w:tc>
          <w:tcPr>
            <w:tcW w:w="2700" w:type="dxa"/>
            <w:tcBorders>
              <w:top w:val="single" w:sz="4" w:space="0" w:color="auto"/>
            </w:tcBorders>
            <w:shd w:val="clear" w:color="000000" w:fill="FFFFFF"/>
            <w:noWrap/>
            <w:vAlign w:val="center"/>
            <w:hideMark/>
          </w:tcPr>
          <w:p w14:paraId="5071FDDE" w14:textId="77777777" w:rsidR="008C1F7A" w:rsidRPr="00301868" w:rsidRDefault="008C1F7A" w:rsidP="008C1F7A">
            <w:pPr>
              <w:spacing w:before="80" w:after="100" w:line="240" w:lineRule="auto"/>
              <w:ind w:firstLine="0"/>
              <w:jc w:val="left"/>
              <w:rPr>
                <w:sz w:val="24"/>
                <w:szCs w:val="24"/>
              </w:rPr>
            </w:pPr>
            <w:r w:rsidRPr="00301868">
              <w:rPr>
                <w:sz w:val="24"/>
                <w:szCs w:val="24"/>
              </w:rPr>
              <w:t xml:space="preserve">6. Số tiền phải thu hồi về quỹ BHXH </w:t>
            </w:r>
            <w:r w:rsidRPr="00301868">
              <w:rPr>
                <w:i/>
                <w:sz w:val="24"/>
                <w:szCs w:val="24"/>
              </w:rPr>
              <w:t>(triệu đồng)</w:t>
            </w:r>
          </w:p>
        </w:tc>
        <w:tc>
          <w:tcPr>
            <w:tcW w:w="1260" w:type="dxa"/>
            <w:tcBorders>
              <w:top w:val="single" w:sz="4" w:space="0" w:color="auto"/>
            </w:tcBorders>
            <w:shd w:val="clear" w:color="auto" w:fill="auto"/>
            <w:noWrap/>
            <w:vAlign w:val="center"/>
            <w:hideMark/>
          </w:tcPr>
          <w:p w14:paraId="402504B7"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8,316</w:t>
            </w:r>
          </w:p>
        </w:tc>
        <w:tc>
          <w:tcPr>
            <w:tcW w:w="1350" w:type="dxa"/>
            <w:tcBorders>
              <w:top w:val="single" w:sz="4" w:space="0" w:color="auto"/>
            </w:tcBorders>
            <w:shd w:val="clear" w:color="auto" w:fill="auto"/>
            <w:noWrap/>
            <w:vAlign w:val="center"/>
            <w:hideMark/>
          </w:tcPr>
          <w:p w14:paraId="6732BCDD"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9,628</w:t>
            </w:r>
          </w:p>
        </w:tc>
        <w:tc>
          <w:tcPr>
            <w:tcW w:w="1256" w:type="dxa"/>
            <w:tcBorders>
              <w:top w:val="single" w:sz="4" w:space="0" w:color="auto"/>
            </w:tcBorders>
            <w:shd w:val="clear" w:color="auto" w:fill="auto"/>
            <w:noWrap/>
            <w:vAlign w:val="center"/>
            <w:hideMark/>
          </w:tcPr>
          <w:p w14:paraId="20846911"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12,104</w:t>
            </w:r>
          </w:p>
        </w:tc>
        <w:tc>
          <w:tcPr>
            <w:tcW w:w="1423" w:type="dxa"/>
            <w:tcBorders>
              <w:top w:val="single" w:sz="4" w:space="0" w:color="auto"/>
            </w:tcBorders>
            <w:shd w:val="clear" w:color="000000" w:fill="FFFFFF"/>
            <w:noWrap/>
            <w:vAlign w:val="center"/>
            <w:hideMark/>
          </w:tcPr>
          <w:p w14:paraId="12BF718B"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13,712</w:t>
            </w:r>
          </w:p>
        </w:tc>
        <w:tc>
          <w:tcPr>
            <w:tcW w:w="1371" w:type="dxa"/>
            <w:tcBorders>
              <w:top w:val="single" w:sz="4" w:space="0" w:color="auto"/>
            </w:tcBorders>
            <w:shd w:val="clear" w:color="auto" w:fill="auto"/>
            <w:noWrap/>
            <w:vAlign w:val="center"/>
            <w:hideMark/>
          </w:tcPr>
          <w:p w14:paraId="55739618" w14:textId="77777777" w:rsidR="008C1F7A" w:rsidRPr="00301868" w:rsidRDefault="008C1F7A" w:rsidP="008C1F7A">
            <w:pPr>
              <w:spacing w:after="0" w:line="240" w:lineRule="auto"/>
              <w:ind w:firstLine="0"/>
              <w:jc w:val="right"/>
              <w:rPr>
                <w:b/>
                <w:bCs/>
                <w:sz w:val="24"/>
                <w:szCs w:val="24"/>
                <w:lang w:val="en-US"/>
              </w:rPr>
            </w:pPr>
            <w:r w:rsidRPr="00301868">
              <w:rPr>
                <w:b/>
                <w:bCs/>
                <w:sz w:val="24"/>
                <w:szCs w:val="24"/>
                <w:lang w:val="en-US"/>
              </w:rPr>
              <w:t>43,760</w:t>
            </w:r>
          </w:p>
        </w:tc>
      </w:tr>
      <w:tr w:rsidR="008C1F7A" w:rsidRPr="00301868" w14:paraId="1708A479" w14:textId="77777777" w:rsidTr="00CB18DF">
        <w:trPr>
          <w:trHeight w:val="435"/>
        </w:trPr>
        <w:tc>
          <w:tcPr>
            <w:tcW w:w="2700" w:type="dxa"/>
            <w:shd w:val="clear" w:color="000000" w:fill="FFFFFF"/>
            <w:vAlign w:val="center"/>
            <w:hideMark/>
          </w:tcPr>
          <w:p w14:paraId="3B778DBD" w14:textId="77777777" w:rsidR="008C1F7A" w:rsidRPr="00301868" w:rsidRDefault="008C1F7A" w:rsidP="008C1F7A">
            <w:pPr>
              <w:spacing w:before="80" w:after="100" w:line="240" w:lineRule="auto"/>
              <w:ind w:firstLine="0"/>
              <w:jc w:val="left"/>
              <w:rPr>
                <w:sz w:val="24"/>
                <w:szCs w:val="24"/>
              </w:rPr>
            </w:pPr>
            <w:r w:rsidRPr="00301868">
              <w:rPr>
                <w:sz w:val="24"/>
                <w:szCs w:val="24"/>
              </w:rPr>
              <w:t xml:space="preserve">7. Số tiền yêu cầu tiếp tục rà soát </w:t>
            </w:r>
            <w:r w:rsidRPr="00301868">
              <w:rPr>
                <w:i/>
                <w:sz w:val="24"/>
                <w:szCs w:val="24"/>
              </w:rPr>
              <w:t>(triệu đồng)</w:t>
            </w:r>
          </w:p>
        </w:tc>
        <w:tc>
          <w:tcPr>
            <w:tcW w:w="1260" w:type="dxa"/>
            <w:shd w:val="clear" w:color="auto" w:fill="auto"/>
            <w:noWrap/>
            <w:vAlign w:val="center"/>
            <w:hideMark/>
          </w:tcPr>
          <w:p w14:paraId="74855F81"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224,011</w:t>
            </w:r>
          </w:p>
        </w:tc>
        <w:tc>
          <w:tcPr>
            <w:tcW w:w="1350" w:type="dxa"/>
            <w:shd w:val="clear" w:color="auto" w:fill="auto"/>
            <w:noWrap/>
            <w:vAlign w:val="center"/>
            <w:hideMark/>
          </w:tcPr>
          <w:p w14:paraId="3BADBB85"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207,034</w:t>
            </w:r>
          </w:p>
        </w:tc>
        <w:tc>
          <w:tcPr>
            <w:tcW w:w="1256" w:type="dxa"/>
            <w:shd w:val="clear" w:color="auto" w:fill="auto"/>
            <w:noWrap/>
            <w:vAlign w:val="center"/>
            <w:hideMark/>
          </w:tcPr>
          <w:p w14:paraId="12FFA746"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222,793</w:t>
            </w:r>
          </w:p>
        </w:tc>
        <w:tc>
          <w:tcPr>
            <w:tcW w:w="1423" w:type="dxa"/>
            <w:shd w:val="clear" w:color="000000" w:fill="FFFFFF"/>
            <w:noWrap/>
            <w:vAlign w:val="center"/>
            <w:hideMark/>
          </w:tcPr>
          <w:p w14:paraId="74C0E69E" w14:textId="77777777" w:rsidR="008C1F7A" w:rsidRPr="00301868" w:rsidRDefault="008C1F7A" w:rsidP="008C1F7A">
            <w:pPr>
              <w:spacing w:after="0" w:line="240" w:lineRule="auto"/>
              <w:ind w:firstLine="0"/>
              <w:jc w:val="right"/>
              <w:rPr>
                <w:sz w:val="24"/>
                <w:szCs w:val="24"/>
                <w:lang w:val="en-US"/>
              </w:rPr>
            </w:pPr>
            <w:r w:rsidRPr="00301868">
              <w:rPr>
                <w:sz w:val="24"/>
                <w:szCs w:val="24"/>
                <w:lang w:val="en-US"/>
              </w:rPr>
              <w:t>92,315</w:t>
            </w:r>
          </w:p>
        </w:tc>
        <w:tc>
          <w:tcPr>
            <w:tcW w:w="1371" w:type="dxa"/>
            <w:shd w:val="clear" w:color="auto" w:fill="auto"/>
            <w:noWrap/>
            <w:vAlign w:val="center"/>
            <w:hideMark/>
          </w:tcPr>
          <w:p w14:paraId="275C3276" w14:textId="77777777" w:rsidR="008C1F7A" w:rsidRPr="00301868" w:rsidRDefault="008C1F7A" w:rsidP="008C1F7A">
            <w:pPr>
              <w:spacing w:after="0" w:line="240" w:lineRule="auto"/>
              <w:ind w:firstLine="0"/>
              <w:jc w:val="right"/>
              <w:rPr>
                <w:b/>
                <w:bCs/>
                <w:sz w:val="24"/>
                <w:szCs w:val="24"/>
                <w:lang w:val="en-US"/>
              </w:rPr>
            </w:pPr>
            <w:r w:rsidRPr="00301868">
              <w:rPr>
                <w:b/>
                <w:bCs/>
                <w:sz w:val="24"/>
                <w:szCs w:val="24"/>
                <w:lang w:val="en-US"/>
              </w:rPr>
              <w:t>746,153</w:t>
            </w:r>
          </w:p>
        </w:tc>
      </w:tr>
    </w:tbl>
    <w:p w14:paraId="419A73FF" w14:textId="77777777" w:rsidR="008C1F7A" w:rsidRPr="00301868" w:rsidRDefault="008C1F7A" w:rsidP="008C1F7A">
      <w:pPr>
        <w:spacing w:before="60" w:after="0" w:line="240" w:lineRule="auto"/>
        <w:ind w:firstLine="0"/>
        <w:jc w:val="left"/>
        <w:rPr>
          <w:rFonts w:eastAsia="Calibri"/>
          <w:sz w:val="24"/>
          <w:szCs w:val="24"/>
        </w:rPr>
      </w:pPr>
      <w:r w:rsidRPr="00301868">
        <w:rPr>
          <w:rFonts w:eastAsia="Calibri"/>
          <w:i/>
          <w:sz w:val="24"/>
          <w:szCs w:val="24"/>
        </w:rPr>
        <w:t xml:space="preserve">Nguồn: </w:t>
      </w:r>
      <w:r w:rsidRPr="00301868">
        <w:rPr>
          <w:rFonts w:eastAsia="Calibri"/>
          <w:i/>
          <w:sz w:val="24"/>
          <w:szCs w:val="24"/>
        </w:rPr>
        <w:tab/>
      </w:r>
      <w:r w:rsidRPr="00301868">
        <w:rPr>
          <w:rFonts w:eastAsia="Calibri"/>
          <w:sz w:val="24"/>
          <w:szCs w:val="24"/>
        </w:rPr>
        <w:t>Báo cáo của Bảo hiểm xã hội Việt Nam</w:t>
      </w:r>
    </w:p>
    <w:p w14:paraId="3781EE93" w14:textId="7B3D7C5B" w:rsidR="008C1F7A" w:rsidRPr="00301868" w:rsidRDefault="008C1F7A" w:rsidP="001875BF">
      <w:pPr>
        <w:pStyle w:val="Heading3"/>
        <w:rPr>
          <w:rFonts w:eastAsia="Calibri"/>
        </w:rPr>
      </w:pPr>
      <w:bookmarkStart w:id="36" w:name="_Toc63186705"/>
      <w:r w:rsidRPr="00301868">
        <w:rPr>
          <w:rFonts w:eastAsia="Calibri"/>
        </w:rPr>
        <w:lastRenderedPageBreak/>
        <w:t>4.4</w:t>
      </w:r>
      <w:r w:rsidR="001875BF" w:rsidRPr="00301868">
        <w:rPr>
          <w:rFonts w:eastAsia="Calibri"/>
        </w:rPr>
        <w:t>.</w:t>
      </w:r>
      <w:r w:rsidRPr="00301868">
        <w:rPr>
          <w:rFonts w:eastAsia="Calibri"/>
        </w:rPr>
        <w:t xml:space="preserve"> Những hạn chế, vướng mắc trong công tác thanh tra và kiểm tra việc thực hiện pháp luật về BHXH</w:t>
      </w:r>
      <w:bookmarkEnd w:id="36"/>
    </w:p>
    <w:p w14:paraId="384652AB" w14:textId="77777777" w:rsidR="008C1F7A" w:rsidRPr="00301868" w:rsidRDefault="008C1F7A" w:rsidP="001875BF">
      <w:pPr>
        <w:rPr>
          <w:rFonts w:eastAsia="Calibri"/>
        </w:rPr>
      </w:pPr>
      <w:r w:rsidRPr="00301868">
        <w:rPr>
          <w:rFonts w:eastAsia="Calibri"/>
        </w:rPr>
        <w:t>Tính cưỡng chế sau thanh tra của ngành LĐ-TBXH nói chung và chuyên ngành về đóng BHXH nói riêng còn thấp. Tình trạng vi phạm pháp luật về trốn đóng BHXH, BHYT bắt buộc sau thanh tra, kiểm tra chưa được khắc phục triệt để. Tình trạng doanh nghiệp sau khi thanh tra có kết luận và đã ban hành quyết định xử phạt vi phạm hành chính, nhưng doanh nghiệp cố tình không chấp hành, kể cả không nộp tiền xử phạt vi phạm hành chính vào ngân sách nhà nước dẫn đến tình trạng “nhờn luật”. Năm 2018, tỷ lệ chấp hành hình phạt sau thanh tra, kiểm tra chuyên ngành về đóng bảo hiểm xã hội chỉ đạt dưới 30%.</w:t>
      </w:r>
    </w:p>
    <w:p w14:paraId="613CEC4E" w14:textId="77E305B0" w:rsidR="008C1F7A" w:rsidRPr="00301868" w:rsidRDefault="008C1F7A" w:rsidP="001875BF">
      <w:pPr>
        <w:pStyle w:val="Heading3"/>
        <w:rPr>
          <w:rFonts w:eastAsia="Calibri"/>
        </w:rPr>
      </w:pPr>
      <w:bookmarkStart w:id="37" w:name="_Toc63186706"/>
      <w:r w:rsidRPr="00301868">
        <w:rPr>
          <w:rFonts w:eastAsia="Calibri"/>
        </w:rPr>
        <w:t>4.5</w:t>
      </w:r>
      <w:r w:rsidR="001875BF" w:rsidRPr="00301868">
        <w:rPr>
          <w:rFonts w:eastAsia="Calibri"/>
        </w:rPr>
        <w:t>.</w:t>
      </w:r>
      <w:r w:rsidRPr="00301868">
        <w:rPr>
          <w:rFonts w:eastAsia="Calibri"/>
        </w:rPr>
        <w:t xml:space="preserve"> Các giải pháp tăng cường hiệu quả công tác thanh tra và kiểm tra việc thực hiện pháp luật về bảo hiểm xã hội</w:t>
      </w:r>
      <w:bookmarkEnd w:id="37"/>
      <w:r w:rsidRPr="00301868">
        <w:rPr>
          <w:rFonts w:eastAsia="Calibri"/>
        </w:rPr>
        <w:t xml:space="preserve"> </w:t>
      </w:r>
    </w:p>
    <w:p w14:paraId="7EAD7C77" w14:textId="77777777" w:rsidR="008C1F7A" w:rsidRPr="00301868" w:rsidRDefault="008C1F7A" w:rsidP="001875BF">
      <w:pPr>
        <w:rPr>
          <w:rFonts w:eastAsia="Calibri"/>
        </w:rPr>
      </w:pPr>
      <w:r w:rsidRPr="00301868">
        <w:rPr>
          <w:rFonts w:eastAsia="Calibri"/>
        </w:rPr>
        <w:t>- Quy định thời gian tối đa phải chấp hành hình phạt sau khi có quyết định xử phạt vi phạm hành chính của cơ quan thanh tra.</w:t>
      </w:r>
    </w:p>
    <w:p w14:paraId="15FC44BB" w14:textId="77777777" w:rsidR="008C1F7A" w:rsidRPr="00301868" w:rsidRDefault="008C1F7A" w:rsidP="001875BF">
      <w:pPr>
        <w:rPr>
          <w:rFonts w:eastAsia="Calibri"/>
        </w:rPr>
      </w:pPr>
      <w:r w:rsidRPr="00301868">
        <w:rPr>
          <w:rFonts w:eastAsia="Calibri"/>
        </w:rPr>
        <w:t xml:space="preserve">- Quy định mức phạt bổ sung khi không chấp hành hình phạt sau khi có quyết định xử phạt vi phạm hành chính của cơ quan thanh tra. </w:t>
      </w:r>
    </w:p>
    <w:p w14:paraId="03387370" w14:textId="77777777" w:rsidR="008C1F7A" w:rsidRPr="00301868" w:rsidRDefault="008C1F7A" w:rsidP="001875BF">
      <w:pPr>
        <w:pStyle w:val="Heading2"/>
        <w:rPr>
          <w:rFonts w:eastAsia="Calibri"/>
        </w:rPr>
      </w:pPr>
      <w:bookmarkStart w:id="38" w:name="_Toc63186707"/>
      <w:r w:rsidRPr="00301868">
        <w:rPr>
          <w:rFonts w:eastAsia="Calibri"/>
        </w:rPr>
        <w:t>V. QUẢN LÝ QUỸ BHXH</w:t>
      </w:r>
      <w:bookmarkEnd w:id="38"/>
      <w:r w:rsidRPr="00301868">
        <w:rPr>
          <w:rFonts w:eastAsia="Calibri"/>
        </w:rPr>
        <w:t xml:space="preserve"> </w:t>
      </w:r>
    </w:p>
    <w:p w14:paraId="577E6784" w14:textId="17DCB830" w:rsidR="008C1F7A" w:rsidRPr="00301868" w:rsidRDefault="008C1F7A" w:rsidP="001875BF">
      <w:pPr>
        <w:pStyle w:val="Heading3"/>
        <w:rPr>
          <w:rFonts w:eastAsia="Calibri"/>
        </w:rPr>
      </w:pPr>
      <w:bookmarkStart w:id="39" w:name="_Toc63186708"/>
      <w:r w:rsidRPr="00301868">
        <w:rPr>
          <w:rFonts w:eastAsia="Calibri"/>
        </w:rPr>
        <w:t>5.1</w:t>
      </w:r>
      <w:r w:rsidR="001875BF" w:rsidRPr="00301868">
        <w:rPr>
          <w:rFonts w:eastAsia="Calibri"/>
        </w:rPr>
        <w:t>.</w:t>
      </w:r>
      <w:r w:rsidRPr="00301868">
        <w:rPr>
          <w:rFonts w:eastAsia="Calibri"/>
        </w:rPr>
        <w:t xml:space="preserve"> Công tác đầu tư Quỹ bảo hiểm xã hội</w:t>
      </w:r>
      <w:bookmarkEnd w:id="39"/>
      <w:r w:rsidRPr="00301868">
        <w:rPr>
          <w:rFonts w:eastAsia="Calibri"/>
        </w:rPr>
        <w:t xml:space="preserve"> </w:t>
      </w:r>
    </w:p>
    <w:p w14:paraId="2CCAE72F" w14:textId="77777777" w:rsidR="008C1F7A" w:rsidRPr="00301868" w:rsidRDefault="008C1F7A" w:rsidP="001875BF">
      <w:pPr>
        <w:rPr>
          <w:rFonts w:eastAsia="Calibri"/>
        </w:rPr>
      </w:pPr>
      <w:r w:rsidRPr="00301868">
        <w:rPr>
          <w:rFonts w:eastAsia="Calibri"/>
        </w:rPr>
        <w:t xml:space="preserve">Căn cứ quy định của Luật BHXH 2014, Chính phủ đã ban hành Nghị định số 30/2016/NĐ-CP ngày 28 tháng 4 năm 2016 quy định chi tiết hoạt động đầu tư từ quỹ BHXH, BHYT, BHTN trong đó quy định cụ thể về nguyên tắc, các hình thức, việc xây dựng các phương án, phương thức và giao trách nhiệm cho Hội đồng quản lý BHXH thông qua phương án đầu tư và giao cho cơ quan BHXH trực tiếp thực việc đầu tư cụ thể theo quy định của pháp luật. </w:t>
      </w:r>
    </w:p>
    <w:p w14:paraId="35334028" w14:textId="6F03F039" w:rsidR="008C1F7A" w:rsidRPr="00301868" w:rsidRDefault="008C1F7A" w:rsidP="001875BF">
      <w:pPr>
        <w:rPr>
          <w:rFonts w:eastAsia="Calibri"/>
        </w:rPr>
      </w:pPr>
      <w:r w:rsidRPr="00301868">
        <w:rPr>
          <w:rFonts w:eastAsia="Calibri"/>
        </w:rPr>
        <w:t>Kết quả thực hiện đầu tư Quỹ BHXH giai đoạn 2016</w:t>
      </w:r>
      <w:r w:rsidR="00CB18DF" w:rsidRPr="00301868">
        <w:rPr>
          <w:rFonts w:eastAsia="Calibri"/>
        </w:rPr>
        <w:t>-</w:t>
      </w:r>
      <w:r w:rsidRPr="00301868">
        <w:rPr>
          <w:rFonts w:eastAsia="Calibri"/>
        </w:rPr>
        <w:t>2019 tại thời điểm 31 tháng 12 hằng năm được thể hiện trong Biểu 11.</w:t>
      </w:r>
    </w:p>
    <w:p w14:paraId="65606D6B" w14:textId="77777777" w:rsidR="008C1F7A" w:rsidRPr="00301868" w:rsidRDefault="008C1F7A" w:rsidP="008C1F7A">
      <w:pPr>
        <w:spacing w:after="0" w:line="240" w:lineRule="auto"/>
        <w:ind w:firstLine="0"/>
        <w:jc w:val="center"/>
        <w:rPr>
          <w:rFonts w:eastAsia="Calibri"/>
          <w:b/>
        </w:rPr>
      </w:pPr>
    </w:p>
    <w:p w14:paraId="3F5280F5" w14:textId="4681517F" w:rsidR="008C1F7A" w:rsidRPr="00301868" w:rsidRDefault="008C1F7A" w:rsidP="008C1F7A">
      <w:pPr>
        <w:spacing w:after="0" w:line="240" w:lineRule="auto"/>
        <w:ind w:firstLine="0"/>
        <w:jc w:val="center"/>
        <w:rPr>
          <w:rFonts w:eastAsia="MS Mincho"/>
          <w:b/>
          <w:lang w:val="pt-BR"/>
        </w:rPr>
      </w:pPr>
      <w:r w:rsidRPr="00301868">
        <w:rPr>
          <w:rFonts w:eastAsia="Calibri"/>
          <w:b/>
        </w:rPr>
        <w:t xml:space="preserve">Biểu 11: </w:t>
      </w:r>
      <w:r w:rsidRPr="00301868">
        <w:rPr>
          <w:rFonts w:eastAsia="MS Mincho"/>
          <w:b/>
          <w:lang w:val="pt-BR"/>
        </w:rPr>
        <w:t>Kết quả đầu tư kết dư quỹ BHXH giai đoạn 2016</w:t>
      </w:r>
      <w:r w:rsidR="00CB18DF" w:rsidRPr="00301868">
        <w:rPr>
          <w:rFonts w:eastAsia="MS Mincho"/>
          <w:b/>
          <w:lang w:val="pt-BR"/>
        </w:rPr>
        <w:t>-</w:t>
      </w:r>
      <w:r w:rsidRPr="00301868">
        <w:rPr>
          <w:rFonts w:eastAsia="MS Mincho"/>
          <w:b/>
          <w:lang w:val="pt-BR"/>
        </w:rPr>
        <w:t>2019</w:t>
      </w:r>
    </w:p>
    <w:p w14:paraId="5B29FDBC" w14:textId="77777777" w:rsidR="008C1F7A" w:rsidRPr="00301868" w:rsidRDefault="008C1F7A" w:rsidP="008C1F7A">
      <w:pPr>
        <w:spacing w:after="0" w:line="240" w:lineRule="auto"/>
        <w:ind w:firstLine="0"/>
        <w:rPr>
          <w:rFonts w:eastAsia="MS Mincho"/>
          <w:b/>
          <w:i/>
          <w:sz w:val="22"/>
          <w:lang w:val="pt-BR"/>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70"/>
        <w:gridCol w:w="1080"/>
        <w:gridCol w:w="810"/>
        <w:gridCol w:w="1170"/>
        <w:gridCol w:w="1080"/>
        <w:gridCol w:w="810"/>
        <w:gridCol w:w="1080"/>
        <w:gridCol w:w="1170"/>
        <w:gridCol w:w="900"/>
      </w:tblGrid>
      <w:tr w:rsidR="008C1F7A" w:rsidRPr="00301868" w14:paraId="5DB7B18C" w14:textId="77777777" w:rsidTr="00CB18DF">
        <w:trPr>
          <w:trHeight w:val="233"/>
        </w:trPr>
        <w:tc>
          <w:tcPr>
            <w:tcW w:w="1260" w:type="dxa"/>
            <w:vMerge w:val="restart"/>
            <w:shd w:val="clear" w:color="auto" w:fill="auto"/>
          </w:tcPr>
          <w:p w14:paraId="74F8011E" w14:textId="77777777" w:rsidR="008C1F7A" w:rsidRPr="00301868" w:rsidRDefault="008C1F7A" w:rsidP="008C1F7A">
            <w:pPr>
              <w:widowControl w:val="0"/>
              <w:spacing w:after="0" w:line="240" w:lineRule="auto"/>
              <w:ind w:firstLine="0"/>
              <w:jc w:val="center"/>
              <w:rPr>
                <w:rFonts w:eastAsia="MS Mincho"/>
                <w:sz w:val="24"/>
                <w:szCs w:val="24"/>
                <w:lang w:val="pt-BR"/>
              </w:rPr>
            </w:pPr>
          </w:p>
          <w:p w14:paraId="694FC459" w14:textId="77777777" w:rsidR="008C1F7A" w:rsidRPr="00301868" w:rsidRDefault="008C1F7A" w:rsidP="008C1F7A">
            <w:pPr>
              <w:widowControl w:val="0"/>
              <w:spacing w:after="0" w:line="240" w:lineRule="auto"/>
              <w:ind w:firstLine="0"/>
              <w:jc w:val="center"/>
              <w:rPr>
                <w:rFonts w:eastAsia="MS Mincho"/>
                <w:sz w:val="24"/>
                <w:szCs w:val="24"/>
                <w:lang w:val="pt-BR"/>
              </w:rPr>
            </w:pPr>
          </w:p>
          <w:p w14:paraId="342C6C44" w14:textId="77777777" w:rsidR="008C1F7A" w:rsidRPr="00301868" w:rsidRDefault="008C1F7A" w:rsidP="008C1F7A">
            <w:pPr>
              <w:widowControl w:val="0"/>
              <w:spacing w:after="0" w:line="240" w:lineRule="auto"/>
              <w:ind w:firstLine="0"/>
              <w:jc w:val="center"/>
              <w:rPr>
                <w:rFonts w:eastAsia="MS Mincho"/>
                <w:sz w:val="24"/>
                <w:szCs w:val="24"/>
                <w:lang w:val="pt-BR"/>
              </w:rPr>
            </w:pPr>
            <w:r w:rsidRPr="00301868">
              <w:rPr>
                <w:rFonts w:eastAsia="MS Mincho"/>
                <w:sz w:val="24"/>
                <w:szCs w:val="24"/>
                <w:lang w:val="pt-BR"/>
              </w:rPr>
              <w:t>Năm</w:t>
            </w:r>
          </w:p>
        </w:tc>
        <w:tc>
          <w:tcPr>
            <w:tcW w:w="3060" w:type="dxa"/>
            <w:gridSpan w:val="3"/>
            <w:shd w:val="clear" w:color="auto" w:fill="auto"/>
          </w:tcPr>
          <w:p w14:paraId="27422FB1" w14:textId="77777777" w:rsidR="008C1F7A" w:rsidRPr="00301868" w:rsidRDefault="008C1F7A" w:rsidP="008C1F7A">
            <w:pPr>
              <w:widowControl w:val="0"/>
              <w:spacing w:before="60" w:after="60" w:line="240" w:lineRule="auto"/>
              <w:ind w:firstLine="0"/>
              <w:jc w:val="center"/>
              <w:rPr>
                <w:rFonts w:eastAsia="MS Mincho"/>
                <w:sz w:val="24"/>
                <w:szCs w:val="24"/>
                <w:lang w:val="pt-BR"/>
              </w:rPr>
            </w:pPr>
            <w:r w:rsidRPr="00301868">
              <w:rPr>
                <w:rFonts w:eastAsia="MS Mincho"/>
                <w:sz w:val="24"/>
                <w:szCs w:val="24"/>
                <w:lang w:val="pt-BR"/>
              </w:rPr>
              <w:t>Số dư đầu tư đến cuối năm</w:t>
            </w:r>
          </w:p>
        </w:tc>
        <w:tc>
          <w:tcPr>
            <w:tcW w:w="3060" w:type="dxa"/>
            <w:gridSpan w:val="3"/>
            <w:shd w:val="clear" w:color="auto" w:fill="auto"/>
          </w:tcPr>
          <w:p w14:paraId="312C5B9D" w14:textId="77777777" w:rsidR="008C1F7A" w:rsidRPr="00301868" w:rsidRDefault="008C1F7A" w:rsidP="008C1F7A">
            <w:pPr>
              <w:widowControl w:val="0"/>
              <w:spacing w:before="60" w:after="60" w:line="240" w:lineRule="auto"/>
              <w:ind w:firstLine="0"/>
              <w:jc w:val="center"/>
              <w:rPr>
                <w:rFonts w:eastAsia="MS Mincho"/>
                <w:sz w:val="24"/>
                <w:szCs w:val="24"/>
                <w:lang w:val="pt-BR"/>
              </w:rPr>
            </w:pPr>
            <w:r w:rsidRPr="00301868">
              <w:rPr>
                <w:rFonts w:eastAsia="MS Mincho"/>
                <w:sz w:val="24"/>
                <w:szCs w:val="24"/>
                <w:lang w:val="pt-BR"/>
              </w:rPr>
              <w:t>Số lãi thu được trong năm</w:t>
            </w:r>
          </w:p>
        </w:tc>
        <w:tc>
          <w:tcPr>
            <w:tcW w:w="1080" w:type="dxa"/>
            <w:vMerge w:val="restart"/>
            <w:shd w:val="clear" w:color="auto" w:fill="auto"/>
          </w:tcPr>
          <w:p w14:paraId="0DC3665D" w14:textId="77777777" w:rsidR="008C1F7A" w:rsidRPr="00301868" w:rsidRDefault="008C1F7A" w:rsidP="008C1F7A">
            <w:pPr>
              <w:widowControl w:val="0"/>
              <w:spacing w:after="0" w:line="240" w:lineRule="auto"/>
              <w:ind w:firstLine="0"/>
              <w:jc w:val="center"/>
              <w:rPr>
                <w:rFonts w:eastAsia="MS Mincho"/>
                <w:sz w:val="24"/>
                <w:szCs w:val="24"/>
                <w:lang w:val="pt-BR"/>
              </w:rPr>
            </w:pPr>
            <w:r w:rsidRPr="00301868">
              <w:rPr>
                <w:rFonts w:eastAsia="MS Mincho"/>
                <w:sz w:val="24"/>
                <w:szCs w:val="24"/>
                <w:lang w:val="pt-BR"/>
              </w:rPr>
              <w:t>Lãi suất đầu tư bình quân</w:t>
            </w:r>
          </w:p>
          <w:p w14:paraId="1C3AA679" w14:textId="77777777" w:rsidR="008C1F7A" w:rsidRPr="00301868" w:rsidRDefault="008C1F7A" w:rsidP="008C1F7A">
            <w:pPr>
              <w:widowControl w:val="0"/>
              <w:spacing w:after="0" w:line="240" w:lineRule="auto"/>
              <w:ind w:firstLine="0"/>
              <w:jc w:val="center"/>
              <w:rPr>
                <w:rFonts w:eastAsia="MS Mincho"/>
                <w:bCs/>
                <w:i/>
                <w:sz w:val="24"/>
                <w:szCs w:val="24"/>
                <w:lang w:val="pt-BR"/>
              </w:rPr>
            </w:pPr>
            <w:r w:rsidRPr="00301868">
              <w:rPr>
                <w:rFonts w:eastAsia="MS Mincho"/>
                <w:bCs/>
                <w:i/>
                <w:sz w:val="24"/>
                <w:szCs w:val="24"/>
                <w:lang w:val="pt-BR"/>
              </w:rPr>
              <w:t>(%)</w:t>
            </w:r>
          </w:p>
        </w:tc>
        <w:tc>
          <w:tcPr>
            <w:tcW w:w="1170" w:type="dxa"/>
            <w:vMerge w:val="restart"/>
            <w:shd w:val="clear" w:color="auto" w:fill="auto"/>
          </w:tcPr>
          <w:p w14:paraId="11113BA3" w14:textId="77777777" w:rsidR="008C1F7A" w:rsidRPr="00301868" w:rsidRDefault="008C1F7A" w:rsidP="008C1F7A">
            <w:pPr>
              <w:widowControl w:val="0"/>
              <w:spacing w:after="0" w:line="240" w:lineRule="auto"/>
              <w:ind w:firstLine="0"/>
              <w:jc w:val="center"/>
              <w:rPr>
                <w:rFonts w:eastAsia="MS Mincho"/>
                <w:sz w:val="24"/>
                <w:szCs w:val="24"/>
                <w:lang w:val="pt-BR"/>
              </w:rPr>
            </w:pPr>
            <w:r w:rsidRPr="00301868">
              <w:rPr>
                <w:rFonts w:eastAsia="MS Mincho"/>
                <w:sz w:val="24"/>
                <w:szCs w:val="24"/>
                <w:lang w:val="pt-BR"/>
              </w:rPr>
              <w:t>Tỷ lệ lạm phát trong năm</w:t>
            </w:r>
          </w:p>
          <w:p w14:paraId="5D29A139" w14:textId="77777777" w:rsidR="008C1F7A" w:rsidRPr="00301868" w:rsidRDefault="008C1F7A" w:rsidP="008C1F7A">
            <w:pPr>
              <w:widowControl w:val="0"/>
              <w:spacing w:after="0" w:line="240" w:lineRule="auto"/>
              <w:ind w:firstLine="0"/>
              <w:jc w:val="center"/>
              <w:rPr>
                <w:rFonts w:eastAsia="MS Mincho"/>
                <w:bCs/>
                <w:i/>
                <w:sz w:val="24"/>
                <w:szCs w:val="24"/>
                <w:lang w:val="pt-BR"/>
              </w:rPr>
            </w:pPr>
            <w:r w:rsidRPr="00301868">
              <w:rPr>
                <w:rFonts w:eastAsia="MS Mincho"/>
                <w:bCs/>
                <w:i/>
                <w:sz w:val="24"/>
                <w:szCs w:val="24"/>
                <w:lang w:val="pt-BR"/>
              </w:rPr>
              <w:t>(%)</w:t>
            </w:r>
          </w:p>
        </w:tc>
        <w:tc>
          <w:tcPr>
            <w:tcW w:w="900" w:type="dxa"/>
            <w:vMerge w:val="restart"/>
            <w:shd w:val="clear" w:color="auto" w:fill="auto"/>
          </w:tcPr>
          <w:p w14:paraId="211AECB6" w14:textId="77777777" w:rsidR="008C1F7A" w:rsidRPr="00301868" w:rsidRDefault="008C1F7A" w:rsidP="008C1F7A">
            <w:pPr>
              <w:widowControl w:val="0"/>
              <w:spacing w:after="0" w:line="240" w:lineRule="auto"/>
              <w:ind w:firstLine="0"/>
              <w:jc w:val="center"/>
              <w:rPr>
                <w:rFonts w:eastAsia="MS Mincho"/>
                <w:sz w:val="24"/>
                <w:szCs w:val="24"/>
                <w:lang w:val="pt-BR"/>
              </w:rPr>
            </w:pPr>
          </w:p>
          <w:p w14:paraId="20F7D644" w14:textId="77777777" w:rsidR="008C1F7A" w:rsidRPr="00301868" w:rsidRDefault="008C1F7A" w:rsidP="008C1F7A">
            <w:pPr>
              <w:widowControl w:val="0"/>
              <w:spacing w:after="0" w:line="240" w:lineRule="auto"/>
              <w:ind w:firstLine="0"/>
              <w:jc w:val="center"/>
              <w:rPr>
                <w:rFonts w:eastAsia="MS Mincho"/>
                <w:sz w:val="24"/>
                <w:szCs w:val="24"/>
                <w:lang w:val="pt-BR"/>
              </w:rPr>
            </w:pPr>
            <w:r w:rsidRPr="00301868">
              <w:rPr>
                <w:rFonts w:eastAsia="MS Mincho"/>
                <w:sz w:val="24"/>
                <w:szCs w:val="24"/>
                <w:lang w:val="pt-BR"/>
              </w:rPr>
              <w:t>Chênh lệch</w:t>
            </w:r>
          </w:p>
          <w:p w14:paraId="5EE3A181" w14:textId="77777777" w:rsidR="008C1F7A" w:rsidRPr="00301868" w:rsidRDefault="008C1F7A" w:rsidP="008C1F7A">
            <w:pPr>
              <w:widowControl w:val="0"/>
              <w:spacing w:after="0" w:line="240" w:lineRule="auto"/>
              <w:ind w:firstLine="0"/>
              <w:jc w:val="center"/>
              <w:rPr>
                <w:rFonts w:eastAsia="MS Mincho"/>
                <w:bCs/>
                <w:i/>
                <w:sz w:val="24"/>
                <w:szCs w:val="24"/>
                <w:lang w:val="pt-BR"/>
              </w:rPr>
            </w:pPr>
            <w:r w:rsidRPr="00301868">
              <w:rPr>
                <w:rFonts w:eastAsia="MS Mincho"/>
                <w:bCs/>
                <w:i/>
                <w:sz w:val="24"/>
                <w:szCs w:val="24"/>
                <w:lang w:val="pt-BR"/>
              </w:rPr>
              <w:t>(%)</w:t>
            </w:r>
          </w:p>
        </w:tc>
      </w:tr>
      <w:tr w:rsidR="008C1F7A" w:rsidRPr="00301868" w14:paraId="2C6D02D5" w14:textId="77777777" w:rsidTr="00CB18DF">
        <w:tc>
          <w:tcPr>
            <w:tcW w:w="1260" w:type="dxa"/>
            <w:vMerge/>
            <w:shd w:val="clear" w:color="auto" w:fill="auto"/>
          </w:tcPr>
          <w:p w14:paraId="6B231FF9" w14:textId="77777777" w:rsidR="008C1F7A" w:rsidRPr="00301868" w:rsidRDefault="008C1F7A" w:rsidP="008C1F7A">
            <w:pPr>
              <w:widowControl w:val="0"/>
              <w:spacing w:after="0" w:line="240" w:lineRule="auto"/>
              <w:jc w:val="center"/>
              <w:rPr>
                <w:rFonts w:eastAsia="MS Mincho"/>
                <w:b/>
                <w:sz w:val="24"/>
                <w:szCs w:val="24"/>
                <w:lang w:val="pt-BR"/>
              </w:rPr>
            </w:pPr>
          </w:p>
        </w:tc>
        <w:tc>
          <w:tcPr>
            <w:tcW w:w="1170" w:type="dxa"/>
            <w:vMerge w:val="restart"/>
            <w:shd w:val="clear" w:color="auto" w:fill="auto"/>
          </w:tcPr>
          <w:p w14:paraId="3D8E84AD" w14:textId="77777777" w:rsidR="008C1F7A" w:rsidRPr="00301868" w:rsidRDefault="008C1F7A" w:rsidP="008C1F7A">
            <w:pPr>
              <w:widowControl w:val="0"/>
              <w:spacing w:after="0" w:line="240" w:lineRule="auto"/>
              <w:ind w:firstLine="0"/>
              <w:jc w:val="center"/>
              <w:rPr>
                <w:rFonts w:eastAsia="MS Mincho"/>
                <w:sz w:val="24"/>
                <w:szCs w:val="24"/>
                <w:lang w:val="pt-BR"/>
              </w:rPr>
            </w:pPr>
          </w:p>
          <w:p w14:paraId="1F84A602" w14:textId="77777777" w:rsidR="008C1F7A" w:rsidRPr="00301868" w:rsidRDefault="008C1F7A" w:rsidP="008C1F7A">
            <w:pPr>
              <w:widowControl w:val="0"/>
              <w:spacing w:after="0" w:line="240" w:lineRule="auto"/>
              <w:ind w:firstLine="0"/>
              <w:jc w:val="center"/>
              <w:rPr>
                <w:rFonts w:eastAsia="MS Mincho"/>
                <w:sz w:val="24"/>
                <w:szCs w:val="24"/>
                <w:lang w:val="pt-BR"/>
              </w:rPr>
            </w:pPr>
            <w:r w:rsidRPr="00301868">
              <w:rPr>
                <w:rFonts w:eastAsia="MS Mincho"/>
                <w:sz w:val="24"/>
                <w:szCs w:val="24"/>
                <w:lang w:val="pt-BR"/>
              </w:rPr>
              <w:t>Số tiền</w:t>
            </w:r>
          </w:p>
          <w:p w14:paraId="3EE1674E" w14:textId="77777777" w:rsidR="008C1F7A" w:rsidRPr="00301868" w:rsidRDefault="008C1F7A" w:rsidP="008C1F7A">
            <w:pPr>
              <w:widowControl w:val="0"/>
              <w:spacing w:after="0" w:line="240" w:lineRule="auto"/>
              <w:ind w:firstLine="0"/>
              <w:jc w:val="center"/>
              <w:rPr>
                <w:rFonts w:eastAsia="MS Mincho"/>
                <w:bCs/>
                <w:i/>
                <w:sz w:val="24"/>
                <w:szCs w:val="24"/>
                <w:lang w:val="pt-BR"/>
              </w:rPr>
            </w:pPr>
            <w:r w:rsidRPr="00301868">
              <w:rPr>
                <w:rFonts w:eastAsia="MS Mincho"/>
                <w:bCs/>
                <w:i/>
                <w:sz w:val="24"/>
                <w:szCs w:val="24"/>
                <w:lang w:val="pt-BR"/>
              </w:rPr>
              <w:t>(tỷ đồng)</w:t>
            </w:r>
          </w:p>
        </w:tc>
        <w:tc>
          <w:tcPr>
            <w:tcW w:w="1890" w:type="dxa"/>
            <w:gridSpan w:val="2"/>
            <w:shd w:val="clear" w:color="auto" w:fill="auto"/>
          </w:tcPr>
          <w:p w14:paraId="6844E73C" w14:textId="77777777" w:rsidR="008C1F7A" w:rsidRPr="00301868" w:rsidRDefault="008C1F7A" w:rsidP="008C1F7A">
            <w:pPr>
              <w:widowControl w:val="0"/>
              <w:spacing w:before="60" w:after="60" w:line="240" w:lineRule="auto"/>
              <w:ind w:firstLine="0"/>
              <w:jc w:val="center"/>
              <w:rPr>
                <w:rFonts w:eastAsia="MS Mincho"/>
                <w:spacing w:val="-16"/>
                <w:sz w:val="24"/>
                <w:szCs w:val="24"/>
                <w:lang w:val="pt-BR"/>
              </w:rPr>
            </w:pPr>
            <w:r w:rsidRPr="00301868">
              <w:rPr>
                <w:rFonts w:eastAsia="MS Mincho"/>
                <w:spacing w:val="-16"/>
                <w:sz w:val="24"/>
                <w:szCs w:val="24"/>
                <w:lang w:val="pt-BR"/>
              </w:rPr>
              <w:t>So với năm trước</w:t>
            </w:r>
          </w:p>
        </w:tc>
        <w:tc>
          <w:tcPr>
            <w:tcW w:w="1170" w:type="dxa"/>
            <w:vMerge w:val="restart"/>
            <w:shd w:val="clear" w:color="auto" w:fill="auto"/>
          </w:tcPr>
          <w:p w14:paraId="3667E913" w14:textId="77777777" w:rsidR="008C1F7A" w:rsidRPr="00301868" w:rsidRDefault="008C1F7A" w:rsidP="008C1F7A">
            <w:pPr>
              <w:spacing w:after="0" w:line="240" w:lineRule="auto"/>
              <w:ind w:firstLine="0"/>
              <w:jc w:val="center"/>
              <w:rPr>
                <w:rFonts w:eastAsia="MS Mincho"/>
                <w:sz w:val="24"/>
                <w:szCs w:val="24"/>
                <w:lang w:val="pt-BR"/>
              </w:rPr>
            </w:pPr>
          </w:p>
          <w:p w14:paraId="4B65568B" w14:textId="77777777" w:rsidR="008C1F7A" w:rsidRPr="00301868" w:rsidRDefault="008C1F7A" w:rsidP="008C1F7A">
            <w:pPr>
              <w:spacing w:after="0" w:line="240" w:lineRule="auto"/>
              <w:ind w:firstLine="0"/>
              <w:jc w:val="center"/>
              <w:rPr>
                <w:rFonts w:eastAsia="MS Mincho"/>
                <w:sz w:val="24"/>
                <w:szCs w:val="24"/>
                <w:lang w:val="pt-BR"/>
              </w:rPr>
            </w:pPr>
            <w:r w:rsidRPr="00301868">
              <w:rPr>
                <w:rFonts w:eastAsia="MS Mincho"/>
                <w:sz w:val="24"/>
                <w:szCs w:val="24"/>
                <w:lang w:val="pt-BR"/>
              </w:rPr>
              <w:t>Số tiền</w:t>
            </w:r>
          </w:p>
          <w:p w14:paraId="09B5E7C5" w14:textId="77777777" w:rsidR="008C1F7A" w:rsidRPr="00301868" w:rsidRDefault="008C1F7A" w:rsidP="008C1F7A">
            <w:pPr>
              <w:spacing w:after="0" w:line="240" w:lineRule="auto"/>
              <w:ind w:firstLine="0"/>
              <w:jc w:val="center"/>
              <w:rPr>
                <w:rFonts w:eastAsia="MS Mincho"/>
                <w:bCs/>
                <w:i/>
                <w:sz w:val="24"/>
                <w:szCs w:val="24"/>
                <w:lang w:val="pt-BR"/>
              </w:rPr>
            </w:pPr>
            <w:r w:rsidRPr="00301868">
              <w:rPr>
                <w:rFonts w:eastAsia="MS Mincho"/>
                <w:bCs/>
                <w:i/>
                <w:sz w:val="24"/>
                <w:szCs w:val="24"/>
                <w:lang w:val="pt-BR"/>
              </w:rPr>
              <w:t>(tỷ đồng)</w:t>
            </w:r>
          </w:p>
        </w:tc>
        <w:tc>
          <w:tcPr>
            <w:tcW w:w="1890" w:type="dxa"/>
            <w:gridSpan w:val="2"/>
            <w:shd w:val="clear" w:color="auto" w:fill="auto"/>
          </w:tcPr>
          <w:p w14:paraId="228918CE" w14:textId="77777777" w:rsidR="008C1F7A" w:rsidRPr="00301868" w:rsidRDefault="008C1F7A" w:rsidP="008C1F7A">
            <w:pPr>
              <w:widowControl w:val="0"/>
              <w:spacing w:after="0" w:line="240" w:lineRule="auto"/>
              <w:ind w:firstLine="0"/>
              <w:jc w:val="center"/>
              <w:rPr>
                <w:rFonts w:eastAsia="MS Mincho"/>
                <w:spacing w:val="-16"/>
                <w:sz w:val="24"/>
                <w:szCs w:val="24"/>
                <w:lang w:val="pt-BR"/>
              </w:rPr>
            </w:pPr>
            <w:r w:rsidRPr="00301868">
              <w:rPr>
                <w:rFonts w:eastAsia="MS Mincho"/>
                <w:spacing w:val="-16"/>
                <w:sz w:val="24"/>
                <w:szCs w:val="24"/>
                <w:lang w:val="pt-BR"/>
              </w:rPr>
              <w:t>So với năm trước</w:t>
            </w:r>
          </w:p>
        </w:tc>
        <w:tc>
          <w:tcPr>
            <w:tcW w:w="1080" w:type="dxa"/>
            <w:vMerge/>
            <w:shd w:val="clear" w:color="auto" w:fill="auto"/>
          </w:tcPr>
          <w:p w14:paraId="00895F12" w14:textId="77777777" w:rsidR="008C1F7A" w:rsidRPr="00301868" w:rsidRDefault="008C1F7A" w:rsidP="008C1F7A">
            <w:pPr>
              <w:widowControl w:val="0"/>
              <w:spacing w:after="0" w:line="240" w:lineRule="auto"/>
              <w:jc w:val="center"/>
              <w:rPr>
                <w:rFonts w:eastAsia="MS Mincho"/>
                <w:b/>
                <w:sz w:val="24"/>
                <w:szCs w:val="24"/>
                <w:lang w:val="pt-BR"/>
              </w:rPr>
            </w:pPr>
          </w:p>
        </w:tc>
        <w:tc>
          <w:tcPr>
            <w:tcW w:w="1170" w:type="dxa"/>
            <w:vMerge/>
            <w:shd w:val="clear" w:color="auto" w:fill="auto"/>
          </w:tcPr>
          <w:p w14:paraId="3110ECEA" w14:textId="77777777" w:rsidR="008C1F7A" w:rsidRPr="00301868" w:rsidRDefault="008C1F7A" w:rsidP="008C1F7A">
            <w:pPr>
              <w:widowControl w:val="0"/>
              <w:spacing w:after="0" w:line="240" w:lineRule="auto"/>
              <w:jc w:val="center"/>
              <w:rPr>
                <w:rFonts w:eastAsia="MS Mincho"/>
                <w:b/>
                <w:sz w:val="24"/>
                <w:szCs w:val="24"/>
                <w:lang w:val="pt-BR"/>
              </w:rPr>
            </w:pPr>
          </w:p>
        </w:tc>
        <w:tc>
          <w:tcPr>
            <w:tcW w:w="900" w:type="dxa"/>
            <w:vMerge/>
            <w:shd w:val="clear" w:color="auto" w:fill="auto"/>
          </w:tcPr>
          <w:p w14:paraId="715D8966" w14:textId="77777777" w:rsidR="008C1F7A" w:rsidRPr="00301868" w:rsidRDefault="008C1F7A" w:rsidP="008C1F7A">
            <w:pPr>
              <w:widowControl w:val="0"/>
              <w:spacing w:after="0" w:line="240" w:lineRule="auto"/>
              <w:jc w:val="center"/>
              <w:rPr>
                <w:rFonts w:eastAsia="MS Mincho"/>
                <w:b/>
                <w:sz w:val="24"/>
                <w:szCs w:val="24"/>
                <w:lang w:val="pt-BR"/>
              </w:rPr>
            </w:pPr>
          </w:p>
        </w:tc>
      </w:tr>
      <w:tr w:rsidR="008C1F7A" w:rsidRPr="00301868" w14:paraId="1F172DBB" w14:textId="77777777" w:rsidTr="00CB18DF">
        <w:tc>
          <w:tcPr>
            <w:tcW w:w="1260" w:type="dxa"/>
            <w:vMerge/>
            <w:shd w:val="clear" w:color="auto" w:fill="auto"/>
          </w:tcPr>
          <w:p w14:paraId="6D126F7B" w14:textId="77777777" w:rsidR="008C1F7A" w:rsidRPr="00301868" w:rsidRDefault="008C1F7A" w:rsidP="008C1F7A">
            <w:pPr>
              <w:widowControl w:val="0"/>
              <w:spacing w:after="0" w:line="240" w:lineRule="auto"/>
              <w:jc w:val="center"/>
              <w:rPr>
                <w:rFonts w:eastAsia="MS Mincho"/>
                <w:b/>
                <w:sz w:val="24"/>
                <w:szCs w:val="24"/>
                <w:lang w:val="pt-BR"/>
              </w:rPr>
            </w:pPr>
          </w:p>
        </w:tc>
        <w:tc>
          <w:tcPr>
            <w:tcW w:w="1170" w:type="dxa"/>
            <w:vMerge/>
            <w:shd w:val="clear" w:color="auto" w:fill="auto"/>
          </w:tcPr>
          <w:p w14:paraId="774BB42C" w14:textId="77777777" w:rsidR="008C1F7A" w:rsidRPr="00301868" w:rsidRDefault="008C1F7A" w:rsidP="008C1F7A">
            <w:pPr>
              <w:widowControl w:val="0"/>
              <w:spacing w:after="0" w:line="240" w:lineRule="auto"/>
              <w:jc w:val="center"/>
              <w:rPr>
                <w:rFonts w:eastAsia="MS Mincho"/>
                <w:sz w:val="24"/>
                <w:szCs w:val="24"/>
                <w:lang w:val="pt-BR"/>
              </w:rPr>
            </w:pPr>
          </w:p>
        </w:tc>
        <w:tc>
          <w:tcPr>
            <w:tcW w:w="1080" w:type="dxa"/>
            <w:shd w:val="clear" w:color="auto" w:fill="auto"/>
          </w:tcPr>
          <w:p w14:paraId="2E4BEACE" w14:textId="77777777" w:rsidR="008C1F7A" w:rsidRPr="00301868" w:rsidRDefault="008C1F7A" w:rsidP="008C1F7A">
            <w:pPr>
              <w:widowControl w:val="0"/>
              <w:spacing w:after="0" w:line="240" w:lineRule="auto"/>
              <w:ind w:firstLine="0"/>
              <w:jc w:val="center"/>
              <w:rPr>
                <w:rFonts w:eastAsia="MS Mincho"/>
                <w:spacing w:val="-16"/>
                <w:sz w:val="24"/>
                <w:szCs w:val="24"/>
                <w:lang w:val="pt-BR"/>
              </w:rPr>
            </w:pPr>
            <w:r w:rsidRPr="00301868">
              <w:rPr>
                <w:rFonts w:eastAsia="MS Mincho"/>
                <w:spacing w:val="-16"/>
                <w:sz w:val="24"/>
                <w:szCs w:val="24"/>
                <w:lang w:val="pt-BR"/>
              </w:rPr>
              <w:t xml:space="preserve">Số tiền                       </w:t>
            </w:r>
            <w:r w:rsidRPr="00301868">
              <w:rPr>
                <w:rFonts w:eastAsia="MS Mincho"/>
                <w:bCs/>
                <w:i/>
                <w:spacing w:val="-16"/>
                <w:sz w:val="24"/>
                <w:szCs w:val="24"/>
                <w:lang w:val="pt-BR"/>
              </w:rPr>
              <w:t>(tỷ đồng)</w:t>
            </w:r>
          </w:p>
        </w:tc>
        <w:tc>
          <w:tcPr>
            <w:tcW w:w="810" w:type="dxa"/>
            <w:shd w:val="clear" w:color="auto" w:fill="auto"/>
          </w:tcPr>
          <w:p w14:paraId="317BAD30" w14:textId="77777777" w:rsidR="008C1F7A" w:rsidRPr="00301868" w:rsidRDefault="008C1F7A" w:rsidP="008C1F7A">
            <w:pPr>
              <w:widowControl w:val="0"/>
              <w:spacing w:after="0" w:line="240" w:lineRule="auto"/>
              <w:ind w:firstLine="0"/>
              <w:jc w:val="center"/>
              <w:rPr>
                <w:rFonts w:eastAsia="MS Mincho"/>
                <w:spacing w:val="-16"/>
                <w:sz w:val="24"/>
                <w:szCs w:val="24"/>
                <w:lang w:val="pt-BR"/>
              </w:rPr>
            </w:pPr>
            <w:r w:rsidRPr="00301868">
              <w:rPr>
                <w:rFonts w:eastAsia="MS Mincho"/>
                <w:spacing w:val="-16"/>
                <w:sz w:val="24"/>
                <w:szCs w:val="24"/>
                <w:lang w:val="pt-BR"/>
              </w:rPr>
              <w:t>Tỷ lệ</w:t>
            </w:r>
          </w:p>
          <w:p w14:paraId="70AFE7CC" w14:textId="77777777" w:rsidR="008C1F7A" w:rsidRPr="00301868" w:rsidRDefault="008C1F7A" w:rsidP="008C1F7A">
            <w:pPr>
              <w:widowControl w:val="0"/>
              <w:spacing w:after="0" w:line="240" w:lineRule="auto"/>
              <w:ind w:firstLine="0"/>
              <w:jc w:val="center"/>
              <w:rPr>
                <w:rFonts w:eastAsia="MS Mincho"/>
                <w:bCs/>
                <w:i/>
                <w:spacing w:val="-16"/>
                <w:sz w:val="24"/>
                <w:szCs w:val="24"/>
                <w:lang w:val="pt-BR"/>
              </w:rPr>
            </w:pPr>
            <w:r w:rsidRPr="00301868">
              <w:rPr>
                <w:rFonts w:eastAsia="MS Mincho"/>
                <w:bCs/>
                <w:i/>
                <w:spacing w:val="-16"/>
                <w:sz w:val="24"/>
                <w:szCs w:val="24"/>
                <w:lang w:val="pt-BR"/>
              </w:rPr>
              <w:t>(%)</w:t>
            </w:r>
          </w:p>
        </w:tc>
        <w:tc>
          <w:tcPr>
            <w:tcW w:w="1170" w:type="dxa"/>
            <w:vMerge/>
            <w:shd w:val="clear" w:color="auto" w:fill="auto"/>
          </w:tcPr>
          <w:p w14:paraId="275C6363" w14:textId="77777777" w:rsidR="008C1F7A" w:rsidRPr="00301868" w:rsidRDefault="008C1F7A" w:rsidP="008C1F7A">
            <w:pPr>
              <w:widowControl w:val="0"/>
              <w:spacing w:after="0" w:line="240" w:lineRule="auto"/>
              <w:jc w:val="center"/>
              <w:rPr>
                <w:rFonts w:eastAsia="MS Mincho"/>
                <w:sz w:val="24"/>
                <w:szCs w:val="24"/>
                <w:lang w:val="pt-BR"/>
              </w:rPr>
            </w:pPr>
          </w:p>
        </w:tc>
        <w:tc>
          <w:tcPr>
            <w:tcW w:w="1080" w:type="dxa"/>
            <w:shd w:val="clear" w:color="auto" w:fill="auto"/>
          </w:tcPr>
          <w:p w14:paraId="1E5DA48F" w14:textId="77777777" w:rsidR="008C1F7A" w:rsidRPr="00301868" w:rsidRDefault="008C1F7A" w:rsidP="008C1F7A">
            <w:pPr>
              <w:widowControl w:val="0"/>
              <w:spacing w:after="0" w:line="240" w:lineRule="auto"/>
              <w:ind w:firstLine="0"/>
              <w:jc w:val="center"/>
              <w:rPr>
                <w:rFonts w:eastAsia="MS Mincho"/>
                <w:spacing w:val="-16"/>
                <w:sz w:val="24"/>
                <w:szCs w:val="24"/>
                <w:lang w:val="pt-BR"/>
              </w:rPr>
            </w:pPr>
            <w:r w:rsidRPr="00301868">
              <w:rPr>
                <w:rFonts w:eastAsia="MS Mincho"/>
                <w:spacing w:val="-16"/>
                <w:sz w:val="24"/>
                <w:szCs w:val="24"/>
                <w:lang w:val="pt-BR"/>
              </w:rPr>
              <w:t xml:space="preserve">Số tiền              </w:t>
            </w:r>
            <w:r w:rsidRPr="00301868">
              <w:rPr>
                <w:rFonts w:eastAsia="MS Mincho"/>
                <w:bCs/>
                <w:i/>
                <w:spacing w:val="-16"/>
                <w:sz w:val="24"/>
                <w:szCs w:val="24"/>
                <w:lang w:val="pt-BR"/>
              </w:rPr>
              <w:t>(tỷ đồng)</w:t>
            </w:r>
          </w:p>
        </w:tc>
        <w:tc>
          <w:tcPr>
            <w:tcW w:w="810" w:type="dxa"/>
            <w:shd w:val="clear" w:color="auto" w:fill="auto"/>
          </w:tcPr>
          <w:p w14:paraId="097EC264" w14:textId="77777777" w:rsidR="008C1F7A" w:rsidRPr="00301868" w:rsidRDefault="008C1F7A" w:rsidP="008C1F7A">
            <w:pPr>
              <w:widowControl w:val="0"/>
              <w:spacing w:after="0" w:line="240" w:lineRule="auto"/>
              <w:ind w:firstLine="0"/>
              <w:jc w:val="center"/>
              <w:rPr>
                <w:rFonts w:eastAsia="MS Mincho"/>
                <w:spacing w:val="-16"/>
                <w:sz w:val="24"/>
                <w:szCs w:val="24"/>
                <w:lang w:val="pt-BR"/>
              </w:rPr>
            </w:pPr>
            <w:r w:rsidRPr="00301868">
              <w:rPr>
                <w:rFonts w:eastAsia="MS Mincho"/>
                <w:spacing w:val="-16"/>
                <w:sz w:val="24"/>
                <w:szCs w:val="24"/>
                <w:lang w:val="pt-BR"/>
              </w:rPr>
              <w:t>Tỷ lệ</w:t>
            </w:r>
          </w:p>
          <w:p w14:paraId="5EF431E5" w14:textId="77777777" w:rsidR="008C1F7A" w:rsidRPr="00301868" w:rsidRDefault="008C1F7A" w:rsidP="008C1F7A">
            <w:pPr>
              <w:widowControl w:val="0"/>
              <w:spacing w:after="0" w:line="240" w:lineRule="auto"/>
              <w:ind w:firstLine="0"/>
              <w:jc w:val="center"/>
              <w:rPr>
                <w:rFonts w:eastAsia="MS Mincho"/>
                <w:bCs/>
                <w:i/>
                <w:spacing w:val="-16"/>
                <w:sz w:val="24"/>
                <w:szCs w:val="24"/>
                <w:lang w:val="pt-BR"/>
              </w:rPr>
            </w:pPr>
            <w:r w:rsidRPr="00301868">
              <w:rPr>
                <w:rFonts w:eastAsia="MS Mincho"/>
                <w:bCs/>
                <w:i/>
                <w:spacing w:val="-16"/>
                <w:sz w:val="24"/>
                <w:szCs w:val="24"/>
                <w:lang w:val="pt-BR"/>
              </w:rPr>
              <w:t>(%)</w:t>
            </w:r>
          </w:p>
        </w:tc>
        <w:tc>
          <w:tcPr>
            <w:tcW w:w="1080" w:type="dxa"/>
            <w:vMerge/>
            <w:shd w:val="clear" w:color="auto" w:fill="auto"/>
          </w:tcPr>
          <w:p w14:paraId="592B078A" w14:textId="77777777" w:rsidR="008C1F7A" w:rsidRPr="00301868" w:rsidRDefault="008C1F7A" w:rsidP="008C1F7A">
            <w:pPr>
              <w:widowControl w:val="0"/>
              <w:spacing w:after="0" w:line="240" w:lineRule="auto"/>
              <w:rPr>
                <w:rFonts w:eastAsia="MS Mincho"/>
                <w:b/>
                <w:sz w:val="24"/>
                <w:szCs w:val="24"/>
                <w:lang w:val="pt-BR"/>
              </w:rPr>
            </w:pPr>
          </w:p>
        </w:tc>
        <w:tc>
          <w:tcPr>
            <w:tcW w:w="1170" w:type="dxa"/>
            <w:vMerge/>
            <w:shd w:val="clear" w:color="auto" w:fill="auto"/>
          </w:tcPr>
          <w:p w14:paraId="62CD21CE" w14:textId="77777777" w:rsidR="008C1F7A" w:rsidRPr="00301868" w:rsidRDefault="008C1F7A" w:rsidP="008C1F7A">
            <w:pPr>
              <w:widowControl w:val="0"/>
              <w:spacing w:after="0" w:line="240" w:lineRule="auto"/>
              <w:rPr>
                <w:rFonts w:eastAsia="MS Mincho"/>
                <w:b/>
                <w:sz w:val="24"/>
                <w:szCs w:val="24"/>
                <w:lang w:val="pt-BR"/>
              </w:rPr>
            </w:pPr>
          </w:p>
        </w:tc>
        <w:tc>
          <w:tcPr>
            <w:tcW w:w="900" w:type="dxa"/>
            <w:vMerge/>
            <w:shd w:val="clear" w:color="auto" w:fill="auto"/>
          </w:tcPr>
          <w:p w14:paraId="7296D285" w14:textId="77777777" w:rsidR="008C1F7A" w:rsidRPr="00301868" w:rsidRDefault="008C1F7A" w:rsidP="008C1F7A">
            <w:pPr>
              <w:widowControl w:val="0"/>
              <w:spacing w:after="0" w:line="240" w:lineRule="auto"/>
              <w:rPr>
                <w:rFonts w:eastAsia="MS Mincho"/>
                <w:b/>
                <w:sz w:val="24"/>
                <w:szCs w:val="24"/>
                <w:lang w:val="pt-BR"/>
              </w:rPr>
            </w:pPr>
          </w:p>
        </w:tc>
      </w:tr>
      <w:tr w:rsidR="008C1F7A" w:rsidRPr="00301868" w14:paraId="478A0C34" w14:textId="77777777" w:rsidTr="00CB18DF">
        <w:tc>
          <w:tcPr>
            <w:tcW w:w="1260" w:type="dxa"/>
            <w:shd w:val="clear" w:color="auto" w:fill="auto"/>
          </w:tcPr>
          <w:p w14:paraId="57422AAF" w14:textId="77777777" w:rsidR="008C1F7A" w:rsidRPr="00301868" w:rsidRDefault="008C1F7A" w:rsidP="008C1F7A">
            <w:pPr>
              <w:widowControl w:val="0"/>
              <w:spacing w:before="80" w:after="80" w:line="240" w:lineRule="auto"/>
              <w:ind w:firstLine="0"/>
              <w:jc w:val="center"/>
              <w:rPr>
                <w:rFonts w:eastAsia="MS Mincho"/>
                <w:sz w:val="24"/>
                <w:szCs w:val="24"/>
                <w:lang w:val="pt-BR"/>
              </w:rPr>
            </w:pPr>
            <w:r w:rsidRPr="00301868">
              <w:rPr>
                <w:rFonts w:eastAsia="MS Mincho"/>
                <w:sz w:val="24"/>
                <w:szCs w:val="24"/>
                <w:lang w:val="pt-BR"/>
              </w:rPr>
              <w:t>2016</w:t>
            </w:r>
          </w:p>
        </w:tc>
        <w:tc>
          <w:tcPr>
            <w:tcW w:w="1170" w:type="dxa"/>
            <w:shd w:val="clear" w:color="auto" w:fill="auto"/>
          </w:tcPr>
          <w:p w14:paraId="206C6DEB"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500.258</w:t>
            </w:r>
          </w:p>
        </w:tc>
        <w:tc>
          <w:tcPr>
            <w:tcW w:w="1080" w:type="dxa"/>
            <w:shd w:val="clear" w:color="auto" w:fill="auto"/>
          </w:tcPr>
          <w:p w14:paraId="7AC18AE3" w14:textId="77777777" w:rsidR="008C1F7A" w:rsidRPr="00301868" w:rsidRDefault="008C1F7A" w:rsidP="008C1F7A">
            <w:pPr>
              <w:widowControl w:val="0"/>
              <w:spacing w:before="80" w:after="80" w:line="240" w:lineRule="auto"/>
              <w:ind w:firstLine="0"/>
              <w:jc w:val="right"/>
              <w:rPr>
                <w:rFonts w:eastAsia="MS Mincho"/>
                <w:sz w:val="24"/>
                <w:szCs w:val="24"/>
                <w:lang w:val="pt-BR"/>
              </w:rPr>
            </w:pPr>
          </w:p>
        </w:tc>
        <w:tc>
          <w:tcPr>
            <w:tcW w:w="810" w:type="dxa"/>
            <w:shd w:val="clear" w:color="auto" w:fill="auto"/>
          </w:tcPr>
          <w:p w14:paraId="6DFA2158" w14:textId="77777777" w:rsidR="008C1F7A" w:rsidRPr="00301868" w:rsidRDefault="008C1F7A" w:rsidP="008C1F7A">
            <w:pPr>
              <w:widowControl w:val="0"/>
              <w:spacing w:before="80" w:after="80" w:line="240" w:lineRule="auto"/>
              <w:ind w:firstLine="0"/>
              <w:jc w:val="right"/>
              <w:rPr>
                <w:rFonts w:eastAsia="MS Mincho"/>
                <w:sz w:val="24"/>
                <w:szCs w:val="24"/>
                <w:lang w:val="pt-BR"/>
              </w:rPr>
            </w:pPr>
          </w:p>
        </w:tc>
        <w:tc>
          <w:tcPr>
            <w:tcW w:w="1170" w:type="dxa"/>
            <w:shd w:val="clear" w:color="auto" w:fill="auto"/>
          </w:tcPr>
          <w:p w14:paraId="2FDE28FA"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33.531</w:t>
            </w:r>
          </w:p>
        </w:tc>
        <w:tc>
          <w:tcPr>
            <w:tcW w:w="1080" w:type="dxa"/>
            <w:shd w:val="clear" w:color="auto" w:fill="auto"/>
          </w:tcPr>
          <w:p w14:paraId="78D6C9F8" w14:textId="77777777" w:rsidR="008C1F7A" w:rsidRPr="00301868" w:rsidRDefault="008C1F7A" w:rsidP="008C1F7A">
            <w:pPr>
              <w:widowControl w:val="0"/>
              <w:spacing w:before="80" w:after="80" w:line="240" w:lineRule="auto"/>
              <w:jc w:val="right"/>
              <w:rPr>
                <w:rFonts w:eastAsia="MS Mincho"/>
                <w:sz w:val="24"/>
                <w:szCs w:val="24"/>
                <w:lang w:val="pt-BR"/>
              </w:rPr>
            </w:pPr>
          </w:p>
        </w:tc>
        <w:tc>
          <w:tcPr>
            <w:tcW w:w="810" w:type="dxa"/>
            <w:shd w:val="clear" w:color="auto" w:fill="auto"/>
          </w:tcPr>
          <w:p w14:paraId="630F366A" w14:textId="77777777" w:rsidR="008C1F7A" w:rsidRPr="00301868" w:rsidRDefault="008C1F7A" w:rsidP="008C1F7A">
            <w:pPr>
              <w:widowControl w:val="0"/>
              <w:spacing w:before="80" w:after="80" w:line="240" w:lineRule="auto"/>
              <w:jc w:val="right"/>
              <w:rPr>
                <w:rFonts w:eastAsia="MS Mincho"/>
                <w:sz w:val="24"/>
                <w:szCs w:val="24"/>
                <w:lang w:val="pt-BR"/>
              </w:rPr>
            </w:pPr>
          </w:p>
        </w:tc>
        <w:tc>
          <w:tcPr>
            <w:tcW w:w="1080" w:type="dxa"/>
            <w:shd w:val="clear" w:color="auto" w:fill="auto"/>
          </w:tcPr>
          <w:p w14:paraId="59A75C25"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7,90</w:t>
            </w:r>
          </w:p>
        </w:tc>
        <w:tc>
          <w:tcPr>
            <w:tcW w:w="1170" w:type="dxa"/>
            <w:shd w:val="clear" w:color="auto" w:fill="auto"/>
          </w:tcPr>
          <w:p w14:paraId="0486D6E7"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4,74</w:t>
            </w:r>
          </w:p>
        </w:tc>
        <w:tc>
          <w:tcPr>
            <w:tcW w:w="900" w:type="dxa"/>
            <w:shd w:val="clear" w:color="auto" w:fill="auto"/>
          </w:tcPr>
          <w:p w14:paraId="43EF1F21"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2,33</w:t>
            </w:r>
          </w:p>
        </w:tc>
      </w:tr>
      <w:tr w:rsidR="008C1F7A" w:rsidRPr="00301868" w14:paraId="73871868" w14:textId="77777777" w:rsidTr="00CB18DF">
        <w:tc>
          <w:tcPr>
            <w:tcW w:w="1260" w:type="dxa"/>
            <w:shd w:val="clear" w:color="auto" w:fill="auto"/>
          </w:tcPr>
          <w:p w14:paraId="16031137" w14:textId="77777777" w:rsidR="008C1F7A" w:rsidRPr="00301868" w:rsidRDefault="008C1F7A" w:rsidP="008C1F7A">
            <w:pPr>
              <w:widowControl w:val="0"/>
              <w:spacing w:before="80" w:after="80" w:line="240" w:lineRule="auto"/>
              <w:ind w:firstLine="0"/>
              <w:jc w:val="center"/>
              <w:rPr>
                <w:rFonts w:eastAsia="MS Mincho"/>
                <w:sz w:val="24"/>
                <w:szCs w:val="24"/>
                <w:lang w:val="pt-BR"/>
              </w:rPr>
            </w:pPr>
            <w:r w:rsidRPr="00301868">
              <w:rPr>
                <w:rFonts w:eastAsia="MS Mincho"/>
                <w:sz w:val="24"/>
                <w:szCs w:val="24"/>
                <w:lang w:val="pt-BR"/>
              </w:rPr>
              <w:t>2017</w:t>
            </w:r>
          </w:p>
        </w:tc>
        <w:tc>
          <w:tcPr>
            <w:tcW w:w="1170" w:type="dxa"/>
            <w:shd w:val="clear" w:color="auto" w:fill="auto"/>
          </w:tcPr>
          <w:p w14:paraId="0EB83B28"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609.069</w:t>
            </w:r>
          </w:p>
        </w:tc>
        <w:tc>
          <w:tcPr>
            <w:tcW w:w="1080" w:type="dxa"/>
            <w:shd w:val="clear" w:color="auto" w:fill="auto"/>
          </w:tcPr>
          <w:p w14:paraId="4CC22EA5"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108.811</w:t>
            </w:r>
          </w:p>
        </w:tc>
        <w:tc>
          <w:tcPr>
            <w:tcW w:w="810" w:type="dxa"/>
            <w:shd w:val="clear" w:color="auto" w:fill="auto"/>
          </w:tcPr>
          <w:p w14:paraId="508443DC"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121,8</w:t>
            </w:r>
          </w:p>
        </w:tc>
        <w:tc>
          <w:tcPr>
            <w:tcW w:w="1170" w:type="dxa"/>
            <w:shd w:val="clear" w:color="auto" w:fill="auto"/>
          </w:tcPr>
          <w:p w14:paraId="7D2C398B"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38.186</w:t>
            </w:r>
          </w:p>
        </w:tc>
        <w:tc>
          <w:tcPr>
            <w:tcW w:w="1080" w:type="dxa"/>
            <w:shd w:val="clear" w:color="auto" w:fill="auto"/>
          </w:tcPr>
          <w:p w14:paraId="24A8758B"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4.655</w:t>
            </w:r>
          </w:p>
        </w:tc>
        <w:tc>
          <w:tcPr>
            <w:tcW w:w="810" w:type="dxa"/>
            <w:shd w:val="clear" w:color="auto" w:fill="auto"/>
          </w:tcPr>
          <w:p w14:paraId="6DB22CA3"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113,9</w:t>
            </w:r>
          </w:p>
        </w:tc>
        <w:tc>
          <w:tcPr>
            <w:tcW w:w="1080" w:type="dxa"/>
            <w:shd w:val="clear" w:color="auto" w:fill="auto"/>
          </w:tcPr>
          <w:p w14:paraId="67674C91"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7,25</w:t>
            </w:r>
          </w:p>
        </w:tc>
        <w:tc>
          <w:tcPr>
            <w:tcW w:w="1170" w:type="dxa"/>
            <w:shd w:val="clear" w:color="auto" w:fill="auto"/>
          </w:tcPr>
          <w:p w14:paraId="00F1517D"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3,7</w:t>
            </w:r>
          </w:p>
        </w:tc>
        <w:tc>
          <w:tcPr>
            <w:tcW w:w="900" w:type="dxa"/>
            <w:shd w:val="clear" w:color="auto" w:fill="auto"/>
          </w:tcPr>
          <w:p w14:paraId="44CFD0B9"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3,55</w:t>
            </w:r>
          </w:p>
        </w:tc>
      </w:tr>
      <w:tr w:rsidR="008C1F7A" w:rsidRPr="00301868" w14:paraId="7C696B72" w14:textId="77777777" w:rsidTr="00CB18DF">
        <w:tc>
          <w:tcPr>
            <w:tcW w:w="1260" w:type="dxa"/>
            <w:shd w:val="clear" w:color="auto" w:fill="auto"/>
          </w:tcPr>
          <w:p w14:paraId="20C032DD" w14:textId="77777777" w:rsidR="008C1F7A" w:rsidRPr="00301868" w:rsidRDefault="008C1F7A" w:rsidP="008C1F7A">
            <w:pPr>
              <w:widowControl w:val="0"/>
              <w:spacing w:before="80" w:after="80" w:line="240" w:lineRule="auto"/>
              <w:ind w:firstLine="0"/>
              <w:jc w:val="center"/>
              <w:rPr>
                <w:rFonts w:eastAsia="MS Mincho"/>
                <w:sz w:val="24"/>
                <w:szCs w:val="24"/>
                <w:lang w:val="pt-BR"/>
              </w:rPr>
            </w:pPr>
            <w:r w:rsidRPr="00301868">
              <w:rPr>
                <w:rFonts w:eastAsia="MS Mincho"/>
                <w:sz w:val="24"/>
                <w:szCs w:val="24"/>
                <w:lang w:val="pt-BR"/>
              </w:rPr>
              <w:t>2018</w:t>
            </w:r>
          </w:p>
        </w:tc>
        <w:tc>
          <w:tcPr>
            <w:tcW w:w="1170" w:type="dxa"/>
            <w:shd w:val="clear" w:color="auto" w:fill="auto"/>
          </w:tcPr>
          <w:p w14:paraId="086BFD1D"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728.085</w:t>
            </w:r>
          </w:p>
        </w:tc>
        <w:tc>
          <w:tcPr>
            <w:tcW w:w="1080" w:type="dxa"/>
            <w:shd w:val="clear" w:color="auto" w:fill="auto"/>
          </w:tcPr>
          <w:p w14:paraId="31D9F72F"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119.015</w:t>
            </w:r>
          </w:p>
        </w:tc>
        <w:tc>
          <w:tcPr>
            <w:tcW w:w="810" w:type="dxa"/>
            <w:shd w:val="clear" w:color="auto" w:fill="auto"/>
          </w:tcPr>
          <w:p w14:paraId="11ECA204"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119,5</w:t>
            </w:r>
          </w:p>
        </w:tc>
        <w:tc>
          <w:tcPr>
            <w:tcW w:w="1170" w:type="dxa"/>
            <w:shd w:val="clear" w:color="auto" w:fill="auto"/>
          </w:tcPr>
          <w:p w14:paraId="3E10220F"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41.978</w:t>
            </w:r>
          </w:p>
        </w:tc>
        <w:tc>
          <w:tcPr>
            <w:tcW w:w="1080" w:type="dxa"/>
            <w:shd w:val="clear" w:color="auto" w:fill="auto"/>
          </w:tcPr>
          <w:p w14:paraId="0BF7728B"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3.787</w:t>
            </w:r>
          </w:p>
        </w:tc>
        <w:tc>
          <w:tcPr>
            <w:tcW w:w="810" w:type="dxa"/>
            <w:shd w:val="clear" w:color="auto" w:fill="auto"/>
          </w:tcPr>
          <w:p w14:paraId="2EF1F0D9"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109,9</w:t>
            </w:r>
          </w:p>
        </w:tc>
        <w:tc>
          <w:tcPr>
            <w:tcW w:w="1080" w:type="dxa"/>
            <w:shd w:val="clear" w:color="auto" w:fill="auto"/>
          </w:tcPr>
          <w:p w14:paraId="12B19112"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6,40</w:t>
            </w:r>
          </w:p>
        </w:tc>
        <w:tc>
          <w:tcPr>
            <w:tcW w:w="1170" w:type="dxa"/>
            <w:shd w:val="clear" w:color="auto" w:fill="auto"/>
          </w:tcPr>
          <w:p w14:paraId="41172A05"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3,54</w:t>
            </w:r>
          </w:p>
        </w:tc>
        <w:tc>
          <w:tcPr>
            <w:tcW w:w="900" w:type="dxa"/>
            <w:shd w:val="clear" w:color="auto" w:fill="auto"/>
          </w:tcPr>
          <w:p w14:paraId="30B3CA6C" w14:textId="77777777" w:rsidR="008C1F7A" w:rsidRPr="00301868" w:rsidRDefault="008C1F7A" w:rsidP="008C1F7A">
            <w:pPr>
              <w:widowControl w:val="0"/>
              <w:spacing w:before="80" w:after="80" w:line="240" w:lineRule="auto"/>
              <w:ind w:firstLine="0"/>
              <w:jc w:val="right"/>
              <w:rPr>
                <w:rFonts w:eastAsia="MS Mincho"/>
                <w:sz w:val="24"/>
                <w:szCs w:val="24"/>
                <w:lang w:val="pt-BR"/>
              </w:rPr>
            </w:pPr>
            <w:r w:rsidRPr="00301868">
              <w:rPr>
                <w:rFonts w:eastAsia="MS Mincho"/>
                <w:sz w:val="24"/>
                <w:szCs w:val="24"/>
                <w:lang w:val="pt-BR"/>
              </w:rPr>
              <w:t>2,86</w:t>
            </w:r>
          </w:p>
        </w:tc>
      </w:tr>
      <w:tr w:rsidR="008C1F7A" w:rsidRPr="00301868" w14:paraId="2547E2BD" w14:textId="77777777" w:rsidTr="00CB18DF">
        <w:tc>
          <w:tcPr>
            <w:tcW w:w="1260" w:type="dxa"/>
            <w:shd w:val="clear" w:color="auto" w:fill="auto"/>
          </w:tcPr>
          <w:p w14:paraId="734BE8ED" w14:textId="77777777" w:rsidR="008C1F7A" w:rsidRPr="00301868" w:rsidRDefault="008C1F7A" w:rsidP="008C1F7A">
            <w:pPr>
              <w:widowControl w:val="0"/>
              <w:spacing w:after="0" w:line="240" w:lineRule="auto"/>
              <w:ind w:firstLine="0"/>
              <w:jc w:val="center"/>
              <w:rPr>
                <w:rFonts w:eastAsia="MS Mincho"/>
                <w:sz w:val="24"/>
                <w:szCs w:val="24"/>
                <w:lang w:val="pt-BR"/>
              </w:rPr>
            </w:pPr>
            <w:r w:rsidRPr="00301868">
              <w:rPr>
                <w:rFonts w:eastAsia="MS Mincho"/>
                <w:sz w:val="24"/>
                <w:szCs w:val="24"/>
                <w:lang w:val="pt-BR"/>
              </w:rPr>
              <w:t>2019                    (</w:t>
            </w:r>
            <w:r w:rsidRPr="00301868">
              <w:rPr>
                <w:rFonts w:eastAsia="MS Mincho"/>
                <w:i/>
                <w:sz w:val="24"/>
                <w:szCs w:val="24"/>
                <w:lang w:val="pt-BR"/>
              </w:rPr>
              <w:t>ước tính</w:t>
            </w:r>
            <w:r w:rsidRPr="00301868">
              <w:rPr>
                <w:rFonts w:eastAsia="MS Mincho"/>
                <w:sz w:val="24"/>
                <w:szCs w:val="24"/>
                <w:lang w:val="pt-BR"/>
              </w:rPr>
              <w:t>)</w:t>
            </w:r>
          </w:p>
        </w:tc>
        <w:tc>
          <w:tcPr>
            <w:tcW w:w="1170" w:type="dxa"/>
            <w:shd w:val="clear" w:color="auto" w:fill="auto"/>
          </w:tcPr>
          <w:p w14:paraId="4233B752" w14:textId="77777777" w:rsidR="008C1F7A" w:rsidRPr="00301868" w:rsidRDefault="008C1F7A" w:rsidP="008C1F7A">
            <w:pPr>
              <w:widowControl w:val="0"/>
              <w:spacing w:after="0" w:line="240" w:lineRule="auto"/>
              <w:ind w:firstLine="0"/>
              <w:jc w:val="right"/>
              <w:rPr>
                <w:rFonts w:eastAsia="MS Mincho"/>
                <w:sz w:val="24"/>
                <w:szCs w:val="24"/>
                <w:lang w:val="pt-BR"/>
              </w:rPr>
            </w:pPr>
            <w:r w:rsidRPr="00301868">
              <w:rPr>
                <w:rFonts w:eastAsia="MS Mincho"/>
                <w:sz w:val="24"/>
                <w:szCs w:val="24"/>
                <w:lang w:val="pt-BR"/>
              </w:rPr>
              <w:t>813.663</w:t>
            </w:r>
          </w:p>
        </w:tc>
        <w:tc>
          <w:tcPr>
            <w:tcW w:w="1080" w:type="dxa"/>
            <w:shd w:val="clear" w:color="auto" w:fill="auto"/>
          </w:tcPr>
          <w:p w14:paraId="550C9BEE" w14:textId="77777777" w:rsidR="008C1F7A" w:rsidRPr="00301868" w:rsidRDefault="008C1F7A" w:rsidP="008C1F7A">
            <w:pPr>
              <w:widowControl w:val="0"/>
              <w:spacing w:after="0" w:line="240" w:lineRule="auto"/>
              <w:ind w:firstLine="0"/>
              <w:jc w:val="right"/>
              <w:rPr>
                <w:rFonts w:eastAsia="MS Mincho"/>
                <w:sz w:val="24"/>
                <w:szCs w:val="24"/>
                <w:lang w:val="pt-BR"/>
              </w:rPr>
            </w:pPr>
            <w:r w:rsidRPr="00301868">
              <w:rPr>
                <w:rFonts w:eastAsia="MS Mincho"/>
                <w:sz w:val="24"/>
                <w:szCs w:val="24"/>
                <w:lang w:val="pt-BR"/>
              </w:rPr>
              <w:t>85.578</w:t>
            </w:r>
          </w:p>
        </w:tc>
        <w:tc>
          <w:tcPr>
            <w:tcW w:w="810" w:type="dxa"/>
            <w:shd w:val="clear" w:color="auto" w:fill="auto"/>
          </w:tcPr>
          <w:p w14:paraId="5FC6DCD0" w14:textId="77777777" w:rsidR="008C1F7A" w:rsidRPr="00301868" w:rsidRDefault="008C1F7A" w:rsidP="008C1F7A">
            <w:pPr>
              <w:widowControl w:val="0"/>
              <w:spacing w:after="0" w:line="240" w:lineRule="auto"/>
              <w:ind w:firstLine="0"/>
              <w:jc w:val="right"/>
              <w:rPr>
                <w:rFonts w:eastAsia="MS Mincho"/>
                <w:sz w:val="24"/>
                <w:szCs w:val="24"/>
                <w:lang w:val="pt-BR"/>
              </w:rPr>
            </w:pPr>
            <w:r w:rsidRPr="00301868">
              <w:rPr>
                <w:rFonts w:eastAsia="MS Mincho"/>
                <w:sz w:val="24"/>
                <w:szCs w:val="24"/>
                <w:lang w:val="pt-BR"/>
              </w:rPr>
              <w:t>111,7</w:t>
            </w:r>
          </w:p>
        </w:tc>
        <w:tc>
          <w:tcPr>
            <w:tcW w:w="1170" w:type="dxa"/>
            <w:shd w:val="clear" w:color="auto" w:fill="auto"/>
          </w:tcPr>
          <w:p w14:paraId="6B121238" w14:textId="77777777" w:rsidR="008C1F7A" w:rsidRPr="00301868" w:rsidRDefault="008C1F7A" w:rsidP="008C1F7A">
            <w:pPr>
              <w:widowControl w:val="0"/>
              <w:spacing w:after="0" w:line="240" w:lineRule="auto"/>
              <w:ind w:firstLine="0"/>
              <w:jc w:val="right"/>
              <w:rPr>
                <w:rFonts w:eastAsia="MS Mincho"/>
                <w:sz w:val="24"/>
                <w:szCs w:val="24"/>
                <w:lang w:val="pt-BR"/>
              </w:rPr>
            </w:pPr>
            <w:r w:rsidRPr="00301868">
              <w:rPr>
                <w:rFonts w:eastAsia="MS Mincho"/>
                <w:sz w:val="24"/>
                <w:szCs w:val="24"/>
                <w:lang w:val="pt-BR"/>
              </w:rPr>
              <w:t>46.570</w:t>
            </w:r>
          </w:p>
        </w:tc>
        <w:tc>
          <w:tcPr>
            <w:tcW w:w="1080" w:type="dxa"/>
            <w:shd w:val="clear" w:color="auto" w:fill="auto"/>
          </w:tcPr>
          <w:p w14:paraId="2F51D572" w14:textId="77777777" w:rsidR="008C1F7A" w:rsidRPr="00301868" w:rsidRDefault="008C1F7A" w:rsidP="008C1F7A">
            <w:pPr>
              <w:widowControl w:val="0"/>
              <w:spacing w:after="0" w:line="240" w:lineRule="auto"/>
              <w:ind w:firstLine="0"/>
              <w:jc w:val="right"/>
              <w:rPr>
                <w:rFonts w:eastAsia="MS Mincho"/>
                <w:sz w:val="24"/>
                <w:szCs w:val="24"/>
                <w:lang w:val="pt-BR"/>
              </w:rPr>
            </w:pPr>
            <w:r w:rsidRPr="00301868">
              <w:rPr>
                <w:rFonts w:eastAsia="MS Mincho"/>
                <w:sz w:val="24"/>
                <w:szCs w:val="24"/>
                <w:lang w:val="pt-BR"/>
              </w:rPr>
              <w:t>4.593</w:t>
            </w:r>
          </w:p>
        </w:tc>
        <w:tc>
          <w:tcPr>
            <w:tcW w:w="810" w:type="dxa"/>
            <w:shd w:val="clear" w:color="auto" w:fill="auto"/>
          </w:tcPr>
          <w:p w14:paraId="71764DDA" w14:textId="77777777" w:rsidR="008C1F7A" w:rsidRPr="00301868" w:rsidRDefault="008C1F7A" w:rsidP="008C1F7A">
            <w:pPr>
              <w:widowControl w:val="0"/>
              <w:spacing w:after="0" w:line="240" w:lineRule="auto"/>
              <w:ind w:firstLine="0"/>
              <w:jc w:val="right"/>
              <w:rPr>
                <w:rFonts w:eastAsia="MS Mincho"/>
                <w:sz w:val="24"/>
                <w:szCs w:val="24"/>
                <w:lang w:val="pt-BR"/>
              </w:rPr>
            </w:pPr>
            <w:r w:rsidRPr="00301868">
              <w:rPr>
                <w:rFonts w:eastAsia="MS Mincho"/>
                <w:sz w:val="24"/>
                <w:szCs w:val="24"/>
                <w:lang w:val="pt-BR"/>
              </w:rPr>
              <w:t>110,9</w:t>
            </w:r>
          </w:p>
        </w:tc>
        <w:tc>
          <w:tcPr>
            <w:tcW w:w="1080" w:type="dxa"/>
            <w:shd w:val="clear" w:color="auto" w:fill="auto"/>
          </w:tcPr>
          <w:p w14:paraId="6295A36C" w14:textId="77777777" w:rsidR="008C1F7A" w:rsidRPr="00301868" w:rsidRDefault="008C1F7A" w:rsidP="008C1F7A">
            <w:pPr>
              <w:widowControl w:val="0"/>
              <w:spacing w:after="0" w:line="240" w:lineRule="auto"/>
              <w:ind w:firstLine="0"/>
              <w:jc w:val="right"/>
              <w:rPr>
                <w:rFonts w:eastAsia="MS Mincho"/>
                <w:sz w:val="24"/>
                <w:szCs w:val="24"/>
                <w:lang w:val="pt-BR"/>
              </w:rPr>
            </w:pPr>
            <w:r w:rsidRPr="00301868">
              <w:rPr>
                <w:rFonts w:eastAsia="MS Mincho"/>
                <w:sz w:val="24"/>
                <w:szCs w:val="24"/>
                <w:lang w:val="pt-BR"/>
              </w:rPr>
              <w:t>5,80</w:t>
            </w:r>
          </w:p>
        </w:tc>
        <w:tc>
          <w:tcPr>
            <w:tcW w:w="1170" w:type="dxa"/>
            <w:shd w:val="clear" w:color="auto" w:fill="auto"/>
          </w:tcPr>
          <w:p w14:paraId="21AB508F" w14:textId="77777777" w:rsidR="008C1F7A" w:rsidRPr="00301868" w:rsidRDefault="008C1F7A" w:rsidP="008C1F7A">
            <w:pPr>
              <w:widowControl w:val="0"/>
              <w:spacing w:after="0" w:line="240" w:lineRule="auto"/>
              <w:ind w:firstLine="0"/>
              <w:jc w:val="right"/>
              <w:rPr>
                <w:rFonts w:eastAsia="MS Mincho"/>
                <w:sz w:val="24"/>
                <w:szCs w:val="24"/>
                <w:lang w:val="pt-BR"/>
              </w:rPr>
            </w:pPr>
            <w:r w:rsidRPr="00301868">
              <w:rPr>
                <w:rFonts w:eastAsia="MS Mincho"/>
                <w:sz w:val="24"/>
                <w:szCs w:val="24"/>
                <w:lang w:val="pt-BR"/>
              </w:rPr>
              <w:t>2,79</w:t>
            </w:r>
          </w:p>
        </w:tc>
        <w:tc>
          <w:tcPr>
            <w:tcW w:w="900" w:type="dxa"/>
            <w:shd w:val="clear" w:color="auto" w:fill="auto"/>
          </w:tcPr>
          <w:p w14:paraId="443E4E1F" w14:textId="77777777" w:rsidR="008C1F7A" w:rsidRPr="00301868" w:rsidRDefault="008C1F7A" w:rsidP="008C1F7A">
            <w:pPr>
              <w:widowControl w:val="0"/>
              <w:spacing w:after="0" w:line="240" w:lineRule="auto"/>
              <w:ind w:firstLine="0"/>
              <w:jc w:val="right"/>
              <w:rPr>
                <w:rFonts w:eastAsia="MS Mincho"/>
                <w:sz w:val="24"/>
                <w:szCs w:val="24"/>
                <w:lang w:val="pt-BR"/>
              </w:rPr>
            </w:pPr>
            <w:r w:rsidRPr="00301868">
              <w:rPr>
                <w:rFonts w:eastAsia="MS Mincho"/>
                <w:sz w:val="24"/>
                <w:szCs w:val="24"/>
                <w:lang w:val="pt-BR"/>
              </w:rPr>
              <w:t>3,01</w:t>
            </w:r>
          </w:p>
        </w:tc>
      </w:tr>
    </w:tbl>
    <w:p w14:paraId="51D24094" w14:textId="77777777" w:rsidR="008C1F7A" w:rsidRPr="00301868" w:rsidRDefault="008C1F7A" w:rsidP="008C1F7A">
      <w:pPr>
        <w:spacing w:before="120" w:after="0" w:line="240" w:lineRule="auto"/>
        <w:ind w:firstLine="0"/>
        <w:jc w:val="left"/>
        <w:rPr>
          <w:rFonts w:eastAsia="Calibri"/>
          <w:sz w:val="24"/>
          <w:szCs w:val="24"/>
        </w:rPr>
      </w:pPr>
      <w:r w:rsidRPr="00301868">
        <w:rPr>
          <w:rFonts w:eastAsia="Calibri"/>
          <w:i/>
          <w:sz w:val="24"/>
          <w:szCs w:val="24"/>
        </w:rPr>
        <w:lastRenderedPageBreak/>
        <w:t xml:space="preserve">Nguồn: </w:t>
      </w:r>
      <w:r w:rsidRPr="00301868">
        <w:rPr>
          <w:rFonts w:eastAsia="Calibri"/>
          <w:i/>
          <w:sz w:val="24"/>
          <w:szCs w:val="24"/>
        </w:rPr>
        <w:tab/>
      </w:r>
      <w:r w:rsidRPr="00301868">
        <w:rPr>
          <w:rFonts w:eastAsia="Calibri"/>
          <w:sz w:val="24"/>
          <w:szCs w:val="24"/>
        </w:rPr>
        <w:t>Báo cáo của Bảo hiểm xã hội Việt Nam</w:t>
      </w:r>
    </w:p>
    <w:p w14:paraId="0A045864" w14:textId="77777777" w:rsidR="008C1F7A" w:rsidRPr="00301868" w:rsidRDefault="008C1F7A" w:rsidP="008C1F7A">
      <w:pPr>
        <w:spacing w:after="0" w:line="240" w:lineRule="auto"/>
        <w:ind w:firstLine="0"/>
        <w:rPr>
          <w:rFonts w:eastAsia="Calibri"/>
          <w:i/>
          <w:sz w:val="22"/>
        </w:rPr>
      </w:pPr>
      <w:r w:rsidRPr="00301868">
        <w:rPr>
          <w:rFonts w:eastAsia="Calibri"/>
          <w:i/>
          <w:sz w:val="22"/>
          <w:szCs w:val="22"/>
        </w:rPr>
        <w:t xml:space="preserve">* Ghi chú: Lãi dự kiến thu được năm 2019 chưa bao gồm </w:t>
      </w:r>
      <w:r w:rsidRPr="00301868">
        <w:rPr>
          <w:rFonts w:eastAsia="Calibri"/>
          <w:i/>
          <w:sz w:val="22"/>
        </w:rPr>
        <w:t>lãi phát sinh trên các tài khoản tiền gửi có kỳ hạn 01 tháng và không kỳ hạn.</w:t>
      </w:r>
    </w:p>
    <w:p w14:paraId="63BFBA02" w14:textId="77777777" w:rsidR="008C1F7A" w:rsidRPr="00301868" w:rsidRDefault="008C1F7A" w:rsidP="008C1F7A">
      <w:pPr>
        <w:spacing w:after="0" w:line="240" w:lineRule="auto"/>
        <w:ind w:firstLine="0"/>
        <w:rPr>
          <w:rFonts w:eastAsia="Calibri"/>
          <w:sz w:val="16"/>
          <w:szCs w:val="16"/>
        </w:rPr>
      </w:pPr>
    </w:p>
    <w:p w14:paraId="4D4FDC15" w14:textId="4D1BAC53" w:rsidR="008C1F7A" w:rsidRPr="00301868" w:rsidRDefault="008C1F7A" w:rsidP="001875BF">
      <w:pPr>
        <w:rPr>
          <w:rFonts w:eastAsia="Calibri"/>
        </w:rPr>
      </w:pPr>
      <w:r w:rsidRPr="00301868">
        <w:rPr>
          <w:rFonts w:eastAsia="Calibri"/>
        </w:rPr>
        <w:t>Từ năm 2016, cơ cấu đầu tư của quỹ BHXH có sự thay đổi so với giai đoạn trước, chuyển dịch theo hướng tăng dần tỷ lệ đầu tư trái phiếu Chính phủ, giảm dần tỷ lệ đầu tư vào các Ngân hàng thương mại. Tất cả các khoản vay của Ngân sách Nhà nước được chuyển đổi thành trái phiếu Chính phủ. Bắt đầu từ năm 2017, BHXH Việt Nam thực hiện đầu tư trái phiếu Chính phủ thông qua hình thức tham gia đấu thầu trên Sàn giao dịch chứng khoán Hà Nội, điều này giúp nâng cao hiệu quả hoạt động đầu tư quỹ và góp phần phát triển thị trường vốn tại Việt Nam; tạo sự minh bạch trong quản lý nợ công và phát triển thị trường trái phiếu Chính phủ. Tỷ lệ đầu tư vào danh mục trái phiếu Chính phủ giai đoạn 2016</w:t>
      </w:r>
      <w:r w:rsidR="00CB18DF" w:rsidRPr="00301868">
        <w:rPr>
          <w:rFonts w:eastAsia="Calibri"/>
        </w:rPr>
        <w:t>-</w:t>
      </w:r>
      <w:r w:rsidRPr="00301868">
        <w:rPr>
          <w:rFonts w:eastAsia="Calibri"/>
        </w:rPr>
        <w:t>2019 duy trì ở mức trên 80% số dư tại thời điểm 31 tháng 12 hằng năm. Cơ cấu đầu tư các quỹ bảo hiểm tại thời điểm 31 tháng 12 hằng năm giai đoạn 2016</w:t>
      </w:r>
      <w:r w:rsidR="00CB18DF" w:rsidRPr="00301868">
        <w:rPr>
          <w:rFonts w:eastAsia="Calibri"/>
        </w:rPr>
        <w:t>-</w:t>
      </w:r>
      <w:r w:rsidRPr="00301868">
        <w:rPr>
          <w:rFonts w:eastAsia="Calibri"/>
        </w:rPr>
        <w:t>2019 được thể hiện trong Biểu 12.</w:t>
      </w:r>
    </w:p>
    <w:p w14:paraId="0BBAE70D" w14:textId="77777777" w:rsidR="008C1F7A" w:rsidRPr="00301868" w:rsidRDefault="008C1F7A" w:rsidP="008C1F7A">
      <w:pPr>
        <w:spacing w:after="0" w:line="240" w:lineRule="auto"/>
        <w:rPr>
          <w:rFonts w:eastAsia="Calibri"/>
          <w:sz w:val="16"/>
          <w:szCs w:val="16"/>
        </w:rPr>
      </w:pPr>
    </w:p>
    <w:p w14:paraId="1C3E93E6" w14:textId="03A8F386" w:rsidR="008C1F7A" w:rsidRPr="00301868" w:rsidRDefault="008C1F7A" w:rsidP="008C1F7A">
      <w:pPr>
        <w:spacing w:after="0" w:line="240" w:lineRule="auto"/>
        <w:ind w:firstLine="0"/>
        <w:jc w:val="center"/>
        <w:rPr>
          <w:rFonts w:eastAsia="MS Mincho"/>
          <w:b/>
          <w:lang w:val="pt-BR"/>
        </w:rPr>
      </w:pPr>
      <w:r w:rsidRPr="00301868">
        <w:rPr>
          <w:rFonts w:eastAsia="Calibri"/>
          <w:b/>
        </w:rPr>
        <w:t xml:space="preserve">Biểu 12: </w:t>
      </w:r>
      <w:r w:rsidRPr="00301868">
        <w:rPr>
          <w:rFonts w:eastAsia="MS Mincho"/>
          <w:b/>
          <w:lang w:val="pt-BR"/>
        </w:rPr>
        <w:t>Cơ cấu đầu tư kết dư quỹ BHXH giai đoạn 2016</w:t>
      </w:r>
      <w:r w:rsidR="00CB18DF" w:rsidRPr="00301868">
        <w:rPr>
          <w:rFonts w:eastAsia="MS Mincho"/>
          <w:b/>
          <w:lang w:val="pt-BR"/>
        </w:rPr>
        <w:t>-</w:t>
      </w:r>
      <w:r w:rsidRPr="00301868">
        <w:rPr>
          <w:rFonts w:eastAsia="MS Mincho"/>
          <w:b/>
          <w:lang w:val="pt-BR"/>
        </w:rPr>
        <w:t>2019</w:t>
      </w:r>
    </w:p>
    <w:p w14:paraId="27BC9E8C" w14:textId="77777777" w:rsidR="008C1F7A" w:rsidRPr="00301868" w:rsidRDefault="008C1F7A" w:rsidP="008C1F7A">
      <w:pPr>
        <w:spacing w:after="0" w:line="240" w:lineRule="auto"/>
        <w:ind w:firstLine="0"/>
        <w:jc w:val="center"/>
        <w:rPr>
          <w:rFonts w:eastAsia="MS Mincho"/>
          <w:b/>
          <w:lang w:val="pt-BR"/>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76"/>
        <w:gridCol w:w="1604"/>
        <w:gridCol w:w="1544"/>
        <w:gridCol w:w="2506"/>
        <w:gridCol w:w="1260"/>
      </w:tblGrid>
      <w:tr w:rsidR="008C1F7A" w:rsidRPr="00301868" w14:paraId="081FE227" w14:textId="77777777" w:rsidTr="00CB18DF">
        <w:trPr>
          <w:trHeight w:val="1052"/>
        </w:trPr>
        <w:tc>
          <w:tcPr>
            <w:tcW w:w="1260" w:type="dxa"/>
            <w:shd w:val="clear" w:color="auto" w:fill="auto"/>
          </w:tcPr>
          <w:p w14:paraId="0A1B18FC" w14:textId="77777777" w:rsidR="008C1F7A" w:rsidRPr="00301868" w:rsidRDefault="008C1F7A" w:rsidP="008C1F7A">
            <w:pPr>
              <w:widowControl w:val="0"/>
              <w:spacing w:after="0" w:line="240" w:lineRule="auto"/>
              <w:ind w:firstLine="0"/>
              <w:jc w:val="center"/>
              <w:rPr>
                <w:rFonts w:eastAsia="MS Mincho"/>
                <w:b/>
                <w:spacing w:val="-4"/>
                <w:sz w:val="24"/>
                <w:szCs w:val="24"/>
                <w:lang w:val="pt-BR"/>
              </w:rPr>
            </w:pPr>
          </w:p>
          <w:p w14:paraId="4C9A30E5" w14:textId="77777777" w:rsidR="008C1F7A" w:rsidRPr="00301868" w:rsidRDefault="008C1F7A" w:rsidP="008C1F7A">
            <w:pPr>
              <w:widowControl w:val="0"/>
              <w:spacing w:before="120" w:after="0" w:line="240" w:lineRule="auto"/>
              <w:ind w:firstLine="0"/>
              <w:jc w:val="center"/>
              <w:rPr>
                <w:rFonts w:eastAsia="MS Mincho"/>
                <w:b/>
                <w:spacing w:val="-4"/>
                <w:sz w:val="24"/>
                <w:szCs w:val="24"/>
                <w:lang w:val="pt-BR"/>
              </w:rPr>
            </w:pPr>
            <w:r w:rsidRPr="00301868">
              <w:rPr>
                <w:rFonts w:eastAsia="MS Mincho"/>
                <w:b/>
                <w:spacing w:val="-4"/>
                <w:sz w:val="24"/>
                <w:szCs w:val="24"/>
                <w:lang w:val="pt-BR"/>
              </w:rPr>
              <w:t>Năm</w:t>
            </w:r>
          </w:p>
        </w:tc>
        <w:tc>
          <w:tcPr>
            <w:tcW w:w="1276" w:type="dxa"/>
            <w:shd w:val="clear" w:color="auto" w:fill="auto"/>
          </w:tcPr>
          <w:p w14:paraId="5252A79E" w14:textId="77777777" w:rsidR="008C1F7A" w:rsidRPr="00301868" w:rsidRDefault="008C1F7A" w:rsidP="008C1F7A">
            <w:pPr>
              <w:widowControl w:val="0"/>
              <w:spacing w:after="0" w:line="240" w:lineRule="auto"/>
              <w:ind w:firstLine="0"/>
              <w:jc w:val="center"/>
              <w:rPr>
                <w:rFonts w:eastAsia="MS Mincho"/>
                <w:b/>
                <w:spacing w:val="-4"/>
                <w:sz w:val="24"/>
                <w:szCs w:val="24"/>
                <w:lang w:val="pt-BR"/>
              </w:rPr>
            </w:pPr>
          </w:p>
          <w:p w14:paraId="47F53DDA" w14:textId="77777777" w:rsidR="008C1F7A" w:rsidRPr="00301868" w:rsidRDefault="008C1F7A" w:rsidP="008C1F7A">
            <w:pPr>
              <w:widowControl w:val="0"/>
              <w:spacing w:after="0" w:line="240" w:lineRule="auto"/>
              <w:ind w:firstLine="0"/>
              <w:jc w:val="center"/>
              <w:rPr>
                <w:rFonts w:eastAsia="MS Mincho"/>
                <w:b/>
                <w:spacing w:val="-4"/>
                <w:sz w:val="24"/>
                <w:szCs w:val="24"/>
                <w:lang w:val="pt-BR"/>
              </w:rPr>
            </w:pPr>
            <w:r w:rsidRPr="00301868">
              <w:rPr>
                <w:rFonts w:eastAsia="MS Mincho"/>
                <w:b/>
                <w:spacing w:val="-4"/>
                <w:sz w:val="24"/>
                <w:szCs w:val="24"/>
                <w:lang w:val="pt-BR"/>
              </w:rPr>
              <w:t xml:space="preserve">Mua trái phiếu CP </w:t>
            </w:r>
          </w:p>
          <w:p w14:paraId="2652ABCA" w14:textId="77777777" w:rsidR="008C1F7A" w:rsidRPr="00301868" w:rsidRDefault="008C1F7A" w:rsidP="008C1F7A">
            <w:pPr>
              <w:widowControl w:val="0"/>
              <w:spacing w:after="0" w:line="240" w:lineRule="auto"/>
              <w:ind w:firstLine="0"/>
              <w:jc w:val="center"/>
              <w:rPr>
                <w:rFonts w:eastAsia="MS Mincho"/>
                <w:spacing w:val="-4"/>
                <w:sz w:val="24"/>
                <w:szCs w:val="24"/>
                <w:lang w:val="pt-BR"/>
              </w:rPr>
            </w:pPr>
            <w:r w:rsidRPr="00301868">
              <w:rPr>
                <w:rFonts w:eastAsia="MS Mincho"/>
                <w:spacing w:val="-4"/>
                <w:sz w:val="24"/>
                <w:szCs w:val="24"/>
                <w:lang w:val="pt-BR"/>
              </w:rPr>
              <w:t>(%)</w:t>
            </w:r>
          </w:p>
        </w:tc>
        <w:tc>
          <w:tcPr>
            <w:tcW w:w="1604" w:type="dxa"/>
            <w:shd w:val="clear" w:color="auto" w:fill="auto"/>
          </w:tcPr>
          <w:p w14:paraId="4C9524D2"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b/>
                <w:spacing w:val="-4"/>
                <w:sz w:val="24"/>
                <w:szCs w:val="24"/>
                <w:lang w:val="pt-BR"/>
              </w:rPr>
              <w:t xml:space="preserve">Cho Ngân hàng TMNN vay (cũ)                         </w:t>
            </w:r>
            <w:r w:rsidRPr="00301868">
              <w:rPr>
                <w:rFonts w:eastAsia="MS Mincho"/>
                <w:spacing w:val="-4"/>
                <w:sz w:val="24"/>
                <w:szCs w:val="24"/>
                <w:lang w:val="pt-BR"/>
              </w:rPr>
              <w:t>(%)</w:t>
            </w:r>
          </w:p>
        </w:tc>
        <w:tc>
          <w:tcPr>
            <w:tcW w:w="1544" w:type="dxa"/>
            <w:shd w:val="clear" w:color="auto" w:fill="auto"/>
          </w:tcPr>
          <w:p w14:paraId="10B26E39" w14:textId="77777777" w:rsidR="008C1F7A" w:rsidRPr="00301868" w:rsidRDefault="008C1F7A" w:rsidP="008C1F7A">
            <w:pPr>
              <w:widowControl w:val="0"/>
              <w:spacing w:after="0" w:line="240" w:lineRule="auto"/>
              <w:ind w:firstLine="0"/>
              <w:jc w:val="center"/>
              <w:rPr>
                <w:rFonts w:eastAsia="MS Mincho"/>
                <w:b/>
                <w:spacing w:val="-4"/>
                <w:sz w:val="24"/>
                <w:szCs w:val="24"/>
                <w:lang w:val="pt-BR"/>
              </w:rPr>
            </w:pPr>
          </w:p>
          <w:p w14:paraId="283B43B2" w14:textId="77777777" w:rsidR="008C1F7A" w:rsidRPr="00301868" w:rsidRDefault="008C1F7A" w:rsidP="008C1F7A">
            <w:pPr>
              <w:widowControl w:val="0"/>
              <w:spacing w:after="0" w:line="240" w:lineRule="auto"/>
              <w:ind w:firstLine="0"/>
              <w:jc w:val="center"/>
              <w:rPr>
                <w:rFonts w:eastAsia="MS Mincho"/>
                <w:b/>
                <w:spacing w:val="-4"/>
                <w:sz w:val="24"/>
                <w:szCs w:val="24"/>
                <w:lang w:val="pt-BR"/>
              </w:rPr>
            </w:pPr>
            <w:r w:rsidRPr="00301868">
              <w:rPr>
                <w:rFonts w:eastAsia="MS Mincho"/>
                <w:b/>
                <w:spacing w:val="-4"/>
                <w:sz w:val="24"/>
                <w:szCs w:val="24"/>
                <w:lang w:val="pt-BR"/>
              </w:rPr>
              <w:t xml:space="preserve">Thủy điện Lai Châu </w:t>
            </w:r>
          </w:p>
          <w:p w14:paraId="04A0C5FB" w14:textId="77777777" w:rsidR="008C1F7A" w:rsidRPr="00301868" w:rsidRDefault="008C1F7A" w:rsidP="008C1F7A">
            <w:pPr>
              <w:widowControl w:val="0"/>
              <w:spacing w:after="0" w:line="240" w:lineRule="auto"/>
              <w:ind w:firstLine="0"/>
              <w:jc w:val="center"/>
              <w:rPr>
                <w:rFonts w:eastAsia="MS Mincho"/>
                <w:spacing w:val="-4"/>
                <w:sz w:val="24"/>
                <w:szCs w:val="24"/>
                <w:lang w:val="pt-BR"/>
              </w:rPr>
            </w:pPr>
            <w:r w:rsidRPr="00301868">
              <w:rPr>
                <w:rFonts w:eastAsia="MS Mincho"/>
                <w:spacing w:val="-4"/>
                <w:sz w:val="24"/>
                <w:szCs w:val="24"/>
                <w:lang w:val="pt-BR"/>
              </w:rPr>
              <w:t>(%)</w:t>
            </w:r>
          </w:p>
        </w:tc>
        <w:tc>
          <w:tcPr>
            <w:tcW w:w="2506" w:type="dxa"/>
            <w:shd w:val="clear" w:color="auto" w:fill="auto"/>
          </w:tcPr>
          <w:p w14:paraId="26D7D825"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b/>
                <w:spacing w:val="-4"/>
                <w:sz w:val="24"/>
                <w:szCs w:val="24"/>
                <w:lang w:val="pt-BR"/>
              </w:rPr>
              <w:t>Gửi tiền, mua trái phiếu, chứng chỉ tiền gửi tại Ngân hàng TM</w:t>
            </w:r>
            <w:r w:rsidRPr="00301868">
              <w:rPr>
                <w:rFonts w:eastAsia="MS Mincho"/>
                <w:spacing w:val="-4"/>
                <w:sz w:val="24"/>
                <w:szCs w:val="24"/>
                <w:lang w:val="pt-BR"/>
              </w:rPr>
              <w:t xml:space="preserve"> (%)</w:t>
            </w:r>
          </w:p>
        </w:tc>
        <w:tc>
          <w:tcPr>
            <w:tcW w:w="1260" w:type="dxa"/>
            <w:shd w:val="clear" w:color="auto" w:fill="auto"/>
          </w:tcPr>
          <w:p w14:paraId="418BD27E" w14:textId="77777777" w:rsidR="008C1F7A" w:rsidRPr="00301868" w:rsidRDefault="008C1F7A" w:rsidP="008C1F7A">
            <w:pPr>
              <w:widowControl w:val="0"/>
              <w:spacing w:after="0" w:line="240" w:lineRule="auto"/>
              <w:ind w:firstLine="0"/>
              <w:jc w:val="center"/>
              <w:rPr>
                <w:rFonts w:eastAsia="MS Mincho"/>
                <w:b/>
                <w:spacing w:val="-4"/>
                <w:sz w:val="24"/>
                <w:szCs w:val="24"/>
                <w:lang w:val="pt-BR"/>
              </w:rPr>
            </w:pPr>
          </w:p>
          <w:p w14:paraId="2C16F774" w14:textId="77777777" w:rsidR="008C1F7A" w:rsidRPr="00301868" w:rsidRDefault="008C1F7A" w:rsidP="008C1F7A">
            <w:pPr>
              <w:widowControl w:val="0"/>
              <w:spacing w:before="120" w:after="0" w:line="240" w:lineRule="auto"/>
              <w:ind w:firstLine="0"/>
              <w:jc w:val="center"/>
              <w:rPr>
                <w:rFonts w:eastAsia="MS Mincho"/>
                <w:spacing w:val="-4"/>
                <w:sz w:val="24"/>
                <w:szCs w:val="24"/>
                <w:lang w:val="pt-BR"/>
              </w:rPr>
            </w:pPr>
            <w:r w:rsidRPr="00301868">
              <w:rPr>
                <w:rFonts w:eastAsia="MS Mincho"/>
                <w:b/>
                <w:spacing w:val="-4"/>
                <w:sz w:val="24"/>
                <w:szCs w:val="24"/>
                <w:lang w:val="pt-BR"/>
              </w:rPr>
              <w:t>Tổng cộng</w:t>
            </w:r>
            <w:r w:rsidRPr="00301868">
              <w:rPr>
                <w:rFonts w:eastAsia="MS Mincho"/>
                <w:spacing w:val="-4"/>
                <w:sz w:val="24"/>
                <w:szCs w:val="24"/>
                <w:lang w:val="pt-BR"/>
              </w:rPr>
              <w:t xml:space="preserve"> (%)</w:t>
            </w:r>
          </w:p>
        </w:tc>
      </w:tr>
      <w:tr w:rsidR="008C1F7A" w:rsidRPr="00301868" w14:paraId="0F411C60" w14:textId="77777777" w:rsidTr="00CB18DF">
        <w:tc>
          <w:tcPr>
            <w:tcW w:w="1260" w:type="dxa"/>
            <w:shd w:val="clear" w:color="auto" w:fill="auto"/>
          </w:tcPr>
          <w:p w14:paraId="4A33B0CF" w14:textId="77777777" w:rsidR="008C1F7A" w:rsidRPr="00301868" w:rsidRDefault="008C1F7A" w:rsidP="008C1F7A">
            <w:pPr>
              <w:widowControl w:val="0"/>
              <w:spacing w:before="120" w:line="240" w:lineRule="auto"/>
              <w:ind w:firstLine="0"/>
              <w:jc w:val="center"/>
              <w:rPr>
                <w:rFonts w:eastAsia="MS Mincho"/>
                <w:b/>
                <w:spacing w:val="-4"/>
                <w:sz w:val="24"/>
                <w:szCs w:val="24"/>
                <w:lang w:val="pt-BR"/>
              </w:rPr>
            </w:pPr>
            <w:r w:rsidRPr="00301868">
              <w:rPr>
                <w:rFonts w:eastAsia="MS Mincho"/>
                <w:b/>
                <w:spacing w:val="-4"/>
                <w:sz w:val="24"/>
                <w:szCs w:val="24"/>
                <w:lang w:val="pt-BR"/>
              </w:rPr>
              <w:t>2016</w:t>
            </w:r>
          </w:p>
        </w:tc>
        <w:tc>
          <w:tcPr>
            <w:tcW w:w="1276" w:type="dxa"/>
            <w:shd w:val="clear" w:color="auto" w:fill="auto"/>
          </w:tcPr>
          <w:p w14:paraId="3C12C958"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spacing w:val="-4"/>
                <w:sz w:val="24"/>
                <w:szCs w:val="24"/>
                <w:lang w:val="pt-BR"/>
              </w:rPr>
              <w:t>83,9</w:t>
            </w:r>
          </w:p>
        </w:tc>
        <w:tc>
          <w:tcPr>
            <w:tcW w:w="1604" w:type="dxa"/>
            <w:shd w:val="clear" w:color="auto" w:fill="auto"/>
          </w:tcPr>
          <w:p w14:paraId="37C30E22"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spacing w:val="-4"/>
                <w:sz w:val="24"/>
                <w:szCs w:val="24"/>
                <w:lang w:val="pt-BR"/>
              </w:rPr>
              <w:t>0,2</w:t>
            </w:r>
          </w:p>
        </w:tc>
        <w:tc>
          <w:tcPr>
            <w:tcW w:w="1544" w:type="dxa"/>
            <w:shd w:val="clear" w:color="auto" w:fill="auto"/>
          </w:tcPr>
          <w:p w14:paraId="51020E09"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spacing w:val="-4"/>
                <w:sz w:val="24"/>
                <w:szCs w:val="24"/>
                <w:lang w:val="pt-BR"/>
              </w:rPr>
              <w:t>0,5</w:t>
            </w:r>
          </w:p>
        </w:tc>
        <w:tc>
          <w:tcPr>
            <w:tcW w:w="2506" w:type="dxa"/>
            <w:shd w:val="clear" w:color="auto" w:fill="auto"/>
          </w:tcPr>
          <w:p w14:paraId="56E14762" w14:textId="77777777" w:rsidR="008C1F7A" w:rsidRPr="00301868" w:rsidRDefault="008C1F7A" w:rsidP="008C1F7A">
            <w:pPr>
              <w:widowControl w:val="0"/>
              <w:spacing w:before="120" w:line="240" w:lineRule="auto"/>
              <w:jc w:val="center"/>
              <w:rPr>
                <w:rFonts w:eastAsia="MS Mincho"/>
                <w:spacing w:val="-4"/>
                <w:sz w:val="24"/>
                <w:szCs w:val="24"/>
                <w:lang w:val="pt-BR"/>
              </w:rPr>
            </w:pPr>
            <w:r w:rsidRPr="00301868">
              <w:rPr>
                <w:rFonts w:eastAsia="MS Mincho"/>
                <w:spacing w:val="-4"/>
                <w:sz w:val="24"/>
                <w:szCs w:val="24"/>
                <w:lang w:val="pt-BR"/>
              </w:rPr>
              <w:t>15,4</w:t>
            </w:r>
          </w:p>
        </w:tc>
        <w:tc>
          <w:tcPr>
            <w:tcW w:w="1260" w:type="dxa"/>
            <w:shd w:val="clear" w:color="auto" w:fill="auto"/>
          </w:tcPr>
          <w:p w14:paraId="1B7C6BD2" w14:textId="77777777" w:rsidR="008C1F7A" w:rsidRPr="00301868" w:rsidRDefault="008C1F7A" w:rsidP="008C1F7A">
            <w:pPr>
              <w:widowControl w:val="0"/>
              <w:spacing w:before="120" w:line="240" w:lineRule="auto"/>
              <w:ind w:firstLine="0"/>
              <w:jc w:val="center"/>
              <w:rPr>
                <w:rFonts w:eastAsia="MS Mincho"/>
                <w:bCs/>
                <w:spacing w:val="-4"/>
                <w:sz w:val="24"/>
                <w:szCs w:val="24"/>
                <w:lang w:val="pt-BR"/>
              </w:rPr>
            </w:pPr>
            <w:r w:rsidRPr="00301868">
              <w:rPr>
                <w:rFonts w:eastAsia="MS Mincho"/>
                <w:bCs/>
                <w:spacing w:val="-4"/>
                <w:sz w:val="24"/>
                <w:szCs w:val="24"/>
                <w:lang w:val="pt-BR"/>
              </w:rPr>
              <w:t>100</w:t>
            </w:r>
          </w:p>
        </w:tc>
      </w:tr>
      <w:tr w:rsidR="008C1F7A" w:rsidRPr="00301868" w14:paraId="5D4E585B" w14:textId="77777777" w:rsidTr="00CB18DF">
        <w:trPr>
          <w:trHeight w:val="332"/>
        </w:trPr>
        <w:tc>
          <w:tcPr>
            <w:tcW w:w="1260" w:type="dxa"/>
            <w:shd w:val="clear" w:color="auto" w:fill="auto"/>
          </w:tcPr>
          <w:p w14:paraId="4FEA547C" w14:textId="77777777" w:rsidR="008C1F7A" w:rsidRPr="00301868" w:rsidRDefault="008C1F7A" w:rsidP="008C1F7A">
            <w:pPr>
              <w:widowControl w:val="0"/>
              <w:spacing w:before="120" w:line="240" w:lineRule="auto"/>
              <w:ind w:firstLine="0"/>
              <w:jc w:val="center"/>
              <w:rPr>
                <w:rFonts w:eastAsia="MS Mincho"/>
                <w:b/>
                <w:spacing w:val="-4"/>
                <w:sz w:val="24"/>
                <w:szCs w:val="24"/>
                <w:lang w:val="pt-BR"/>
              </w:rPr>
            </w:pPr>
            <w:r w:rsidRPr="00301868">
              <w:rPr>
                <w:rFonts w:eastAsia="MS Mincho"/>
                <w:b/>
                <w:spacing w:val="-4"/>
                <w:sz w:val="24"/>
                <w:szCs w:val="24"/>
                <w:lang w:val="pt-BR"/>
              </w:rPr>
              <w:t>2017</w:t>
            </w:r>
          </w:p>
        </w:tc>
        <w:tc>
          <w:tcPr>
            <w:tcW w:w="1276" w:type="dxa"/>
            <w:shd w:val="clear" w:color="auto" w:fill="auto"/>
          </w:tcPr>
          <w:p w14:paraId="6BB7E911"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spacing w:val="-4"/>
                <w:sz w:val="24"/>
                <w:szCs w:val="24"/>
                <w:lang w:val="pt-BR"/>
              </w:rPr>
              <w:t>81,8</w:t>
            </w:r>
          </w:p>
        </w:tc>
        <w:tc>
          <w:tcPr>
            <w:tcW w:w="1604" w:type="dxa"/>
            <w:shd w:val="clear" w:color="auto" w:fill="auto"/>
          </w:tcPr>
          <w:p w14:paraId="09753115"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spacing w:val="-4"/>
                <w:sz w:val="24"/>
                <w:szCs w:val="24"/>
                <w:lang w:val="pt-BR"/>
              </w:rPr>
              <w:t>0,1</w:t>
            </w:r>
          </w:p>
        </w:tc>
        <w:tc>
          <w:tcPr>
            <w:tcW w:w="1544" w:type="dxa"/>
            <w:shd w:val="clear" w:color="auto" w:fill="auto"/>
          </w:tcPr>
          <w:p w14:paraId="6FE8A880"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spacing w:val="-4"/>
                <w:sz w:val="24"/>
                <w:szCs w:val="24"/>
                <w:lang w:val="pt-BR"/>
              </w:rPr>
              <w:t>-</w:t>
            </w:r>
          </w:p>
        </w:tc>
        <w:tc>
          <w:tcPr>
            <w:tcW w:w="2506" w:type="dxa"/>
            <w:shd w:val="clear" w:color="auto" w:fill="auto"/>
          </w:tcPr>
          <w:p w14:paraId="4B952757" w14:textId="77777777" w:rsidR="008C1F7A" w:rsidRPr="00301868" w:rsidRDefault="008C1F7A" w:rsidP="008C1F7A">
            <w:pPr>
              <w:widowControl w:val="0"/>
              <w:spacing w:before="120" w:line="240" w:lineRule="auto"/>
              <w:jc w:val="center"/>
              <w:rPr>
                <w:rFonts w:eastAsia="MS Mincho"/>
                <w:spacing w:val="-4"/>
                <w:sz w:val="24"/>
                <w:szCs w:val="24"/>
                <w:lang w:val="pt-BR"/>
              </w:rPr>
            </w:pPr>
            <w:r w:rsidRPr="00301868">
              <w:rPr>
                <w:rFonts w:eastAsia="MS Mincho"/>
                <w:spacing w:val="-4"/>
                <w:sz w:val="24"/>
                <w:szCs w:val="24"/>
                <w:lang w:val="pt-BR"/>
              </w:rPr>
              <w:t>18,1</w:t>
            </w:r>
          </w:p>
        </w:tc>
        <w:tc>
          <w:tcPr>
            <w:tcW w:w="1260" w:type="dxa"/>
            <w:shd w:val="clear" w:color="auto" w:fill="auto"/>
          </w:tcPr>
          <w:p w14:paraId="341323BA" w14:textId="77777777" w:rsidR="008C1F7A" w:rsidRPr="00301868" w:rsidRDefault="008C1F7A" w:rsidP="008C1F7A">
            <w:pPr>
              <w:widowControl w:val="0"/>
              <w:spacing w:before="120" w:line="240" w:lineRule="auto"/>
              <w:ind w:firstLine="0"/>
              <w:jc w:val="center"/>
              <w:rPr>
                <w:rFonts w:eastAsia="MS Mincho"/>
                <w:bCs/>
                <w:spacing w:val="-4"/>
                <w:sz w:val="24"/>
                <w:szCs w:val="24"/>
                <w:lang w:val="pt-BR"/>
              </w:rPr>
            </w:pPr>
            <w:r w:rsidRPr="00301868">
              <w:rPr>
                <w:rFonts w:eastAsia="MS Mincho"/>
                <w:bCs/>
                <w:spacing w:val="-4"/>
                <w:sz w:val="24"/>
                <w:szCs w:val="24"/>
                <w:lang w:val="pt-BR"/>
              </w:rPr>
              <w:t>100</w:t>
            </w:r>
          </w:p>
        </w:tc>
      </w:tr>
      <w:tr w:rsidR="008C1F7A" w:rsidRPr="00301868" w14:paraId="1CE7F8B5" w14:textId="77777777" w:rsidTr="00CB18DF">
        <w:tc>
          <w:tcPr>
            <w:tcW w:w="1260" w:type="dxa"/>
            <w:shd w:val="clear" w:color="auto" w:fill="auto"/>
          </w:tcPr>
          <w:p w14:paraId="21A08755" w14:textId="77777777" w:rsidR="008C1F7A" w:rsidRPr="00301868" w:rsidRDefault="008C1F7A" w:rsidP="008C1F7A">
            <w:pPr>
              <w:widowControl w:val="0"/>
              <w:spacing w:before="120" w:line="240" w:lineRule="auto"/>
              <w:ind w:firstLine="0"/>
              <w:jc w:val="center"/>
              <w:rPr>
                <w:rFonts w:eastAsia="MS Mincho"/>
                <w:b/>
                <w:spacing w:val="-4"/>
                <w:sz w:val="24"/>
                <w:szCs w:val="24"/>
                <w:lang w:val="pt-BR"/>
              </w:rPr>
            </w:pPr>
            <w:r w:rsidRPr="00301868">
              <w:rPr>
                <w:rFonts w:eastAsia="MS Mincho"/>
                <w:b/>
                <w:spacing w:val="-4"/>
                <w:sz w:val="24"/>
                <w:szCs w:val="24"/>
                <w:lang w:val="pt-BR"/>
              </w:rPr>
              <w:t>2018</w:t>
            </w:r>
          </w:p>
        </w:tc>
        <w:tc>
          <w:tcPr>
            <w:tcW w:w="1276" w:type="dxa"/>
            <w:shd w:val="clear" w:color="auto" w:fill="auto"/>
          </w:tcPr>
          <w:p w14:paraId="26748D6A"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spacing w:val="-4"/>
                <w:sz w:val="24"/>
                <w:szCs w:val="24"/>
                <w:lang w:val="pt-BR"/>
              </w:rPr>
              <w:t>85,3</w:t>
            </w:r>
          </w:p>
        </w:tc>
        <w:tc>
          <w:tcPr>
            <w:tcW w:w="1604" w:type="dxa"/>
            <w:shd w:val="clear" w:color="auto" w:fill="auto"/>
          </w:tcPr>
          <w:p w14:paraId="6061E490"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spacing w:val="-4"/>
                <w:sz w:val="24"/>
                <w:szCs w:val="24"/>
                <w:lang w:val="pt-BR"/>
              </w:rPr>
              <w:t>0,1</w:t>
            </w:r>
          </w:p>
        </w:tc>
        <w:tc>
          <w:tcPr>
            <w:tcW w:w="1544" w:type="dxa"/>
            <w:shd w:val="clear" w:color="auto" w:fill="auto"/>
          </w:tcPr>
          <w:p w14:paraId="268A45FA" w14:textId="77777777" w:rsidR="008C1F7A" w:rsidRPr="00301868" w:rsidRDefault="008C1F7A" w:rsidP="008C1F7A">
            <w:pPr>
              <w:widowControl w:val="0"/>
              <w:spacing w:before="120" w:line="240" w:lineRule="auto"/>
              <w:ind w:firstLine="0"/>
              <w:jc w:val="center"/>
              <w:rPr>
                <w:rFonts w:eastAsia="MS Mincho"/>
                <w:spacing w:val="-4"/>
                <w:sz w:val="24"/>
                <w:szCs w:val="24"/>
                <w:lang w:val="pt-BR"/>
              </w:rPr>
            </w:pPr>
            <w:r w:rsidRPr="00301868">
              <w:rPr>
                <w:rFonts w:eastAsia="MS Mincho"/>
                <w:spacing w:val="-4"/>
                <w:sz w:val="24"/>
                <w:szCs w:val="24"/>
                <w:lang w:val="pt-BR"/>
              </w:rPr>
              <w:t>-</w:t>
            </w:r>
          </w:p>
        </w:tc>
        <w:tc>
          <w:tcPr>
            <w:tcW w:w="2506" w:type="dxa"/>
            <w:shd w:val="clear" w:color="auto" w:fill="auto"/>
          </w:tcPr>
          <w:p w14:paraId="21AB3D3F" w14:textId="77777777" w:rsidR="008C1F7A" w:rsidRPr="00301868" w:rsidRDefault="008C1F7A" w:rsidP="008C1F7A">
            <w:pPr>
              <w:widowControl w:val="0"/>
              <w:spacing w:before="120" w:line="240" w:lineRule="auto"/>
              <w:jc w:val="center"/>
              <w:rPr>
                <w:rFonts w:eastAsia="MS Mincho"/>
                <w:spacing w:val="-4"/>
                <w:sz w:val="24"/>
                <w:szCs w:val="24"/>
                <w:lang w:val="pt-BR"/>
              </w:rPr>
            </w:pPr>
            <w:r w:rsidRPr="00301868">
              <w:rPr>
                <w:rFonts w:eastAsia="MS Mincho"/>
                <w:spacing w:val="-4"/>
                <w:sz w:val="24"/>
                <w:szCs w:val="24"/>
                <w:lang w:val="pt-BR"/>
              </w:rPr>
              <w:t>14,6</w:t>
            </w:r>
          </w:p>
        </w:tc>
        <w:tc>
          <w:tcPr>
            <w:tcW w:w="1260" w:type="dxa"/>
            <w:shd w:val="clear" w:color="auto" w:fill="auto"/>
          </w:tcPr>
          <w:p w14:paraId="415960EB" w14:textId="77777777" w:rsidR="008C1F7A" w:rsidRPr="00301868" w:rsidRDefault="008C1F7A" w:rsidP="008C1F7A">
            <w:pPr>
              <w:widowControl w:val="0"/>
              <w:spacing w:before="120" w:line="240" w:lineRule="auto"/>
              <w:ind w:firstLine="0"/>
              <w:jc w:val="center"/>
              <w:rPr>
                <w:rFonts w:eastAsia="MS Mincho"/>
                <w:bCs/>
                <w:spacing w:val="-4"/>
                <w:sz w:val="24"/>
                <w:szCs w:val="24"/>
                <w:lang w:val="pt-BR"/>
              </w:rPr>
            </w:pPr>
            <w:r w:rsidRPr="00301868">
              <w:rPr>
                <w:rFonts w:eastAsia="MS Mincho"/>
                <w:bCs/>
                <w:spacing w:val="-4"/>
                <w:sz w:val="24"/>
                <w:szCs w:val="24"/>
                <w:lang w:val="pt-BR"/>
              </w:rPr>
              <w:t>100</w:t>
            </w:r>
          </w:p>
        </w:tc>
      </w:tr>
      <w:tr w:rsidR="008C1F7A" w:rsidRPr="00301868" w14:paraId="5F8BECE3" w14:textId="77777777" w:rsidTr="00CB18DF">
        <w:trPr>
          <w:trHeight w:val="329"/>
        </w:trPr>
        <w:tc>
          <w:tcPr>
            <w:tcW w:w="1260" w:type="dxa"/>
            <w:shd w:val="clear" w:color="auto" w:fill="auto"/>
          </w:tcPr>
          <w:p w14:paraId="0A3CE95C" w14:textId="77777777" w:rsidR="008C1F7A" w:rsidRPr="00301868" w:rsidRDefault="008C1F7A" w:rsidP="008C1F7A">
            <w:pPr>
              <w:widowControl w:val="0"/>
              <w:spacing w:after="0" w:line="240" w:lineRule="auto"/>
              <w:ind w:firstLine="0"/>
              <w:jc w:val="center"/>
              <w:rPr>
                <w:rFonts w:eastAsia="MS Mincho"/>
                <w:spacing w:val="-4"/>
                <w:sz w:val="24"/>
                <w:szCs w:val="24"/>
                <w:lang w:val="pt-BR"/>
              </w:rPr>
            </w:pPr>
            <w:r w:rsidRPr="00301868">
              <w:rPr>
                <w:rFonts w:eastAsia="MS Mincho"/>
                <w:b/>
                <w:spacing w:val="-4"/>
                <w:sz w:val="24"/>
                <w:szCs w:val="24"/>
                <w:lang w:val="pt-BR"/>
              </w:rPr>
              <w:t xml:space="preserve">2019 </w:t>
            </w:r>
            <w:r w:rsidRPr="00301868">
              <w:rPr>
                <w:rFonts w:eastAsia="MS Mincho"/>
                <w:spacing w:val="-4"/>
                <w:sz w:val="24"/>
                <w:szCs w:val="24"/>
                <w:lang w:val="pt-BR"/>
              </w:rPr>
              <w:t xml:space="preserve">                  </w:t>
            </w:r>
            <w:r w:rsidRPr="00301868">
              <w:rPr>
                <w:rFonts w:eastAsia="MS Mincho"/>
                <w:i/>
                <w:spacing w:val="-4"/>
                <w:sz w:val="24"/>
                <w:szCs w:val="24"/>
                <w:lang w:val="pt-BR"/>
              </w:rPr>
              <w:t>(ước tính)</w:t>
            </w:r>
          </w:p>
        </w:tc>
        <w:tc>
          <w:tcPr>
            <w:tcW w:w="1276" w:type="dxa"/>
            <w:shd w:val="clear" w:color="auto" w:fill="auto"/>
            <w:vAlign w:val="center"/>
          </w:tcPr>
          <w:p w14:paraId="5DD12B56" w14:textId="77777777" w:rsidR="008C1F7A" w:rsidRPr="00301868" w:rsidRDefault="008C1F7A" w:rsidP="008C1F7A">
            <w:pPr>
              <w:widowControl w:val="0"/>
              <w:spacing w:after="0" w:line="240" w:lineRule="auto"/>
              <w:ind w:firstLine="0"/>
              <w:jc w:val="center"/>
              <w:rPr>
                <w:rFonts w:eastAsia="MS Mincho"/>
                <w:spacing w:val="-4"/>
                <w:sz w:val="24"/>
                <w:szCs w:val="24"/>
                <w:lang w:val="pt-BR"/>
              </w:rPr>
            </w:pPr>
            <w:r w:rsidRPr="00301868">
              <w:rPr>
                <w:rFonts w:eastAsia="MS Mincho"/>
                <w:spacing w:val="-4"/>
                <w:sz w:val="24"/>
                <w:szCs w:val="24"/>
                <w:lang w:val="pt-BR"/>
              </w:rPr>
              <w:t>86,5</w:t>
            </w:r>
          </w:p>
        </w:tc>
        <w:tc>
          <w:tcPr>
            <w:tcW w:w="1604" w:type="dxa"/>
            <w:shd w:val="clear" w:color="auto" w:fill="auto"/>
            <w:vAlign w:val="center"/>
          </w:tcPr>
          <w:p w14:paraId="3C7875EF" w14:textId="77777777" w:rsidR="008C1F7A" w:rsidRPr="00301868" w:rsidRDefault="008C1F7A" w:rsidP="008C1F7A">
            <w:pPr>
              <w:widowControl w:val="0"/>
              <w:spacing w:after="0" w:line="240" w:lineRule="auto"/>
              <w:ind w:firstLine="0"/>
              <w:jc w:val="center"/>
              <w:rPr>
                <w:rFonts w:eastAsia="MS Mincho"/>
                <w:spacing w:val="-4"/>
                <w:sz w:val="24"/>
                <w:szCs w:val="24"/>
                <w:lang w:val="pt-BR"/>
              </w:rPr>
            </w:pPr>
            <w:r w:rsidRPr="00301868">
              <w:rPr>
                <w:rFonts w:eastAsia="MS Mincho"/>
                <w:spacing w:val="-4"/>
                <w:sz w:val="24"/>
                <w:szCs w:val="24"/>
                <w:lang w:val="pt-BR"/>
              </w:rPr>
              <w:t>0,1</w:t>
            </w:r>
          </w:p>
        </w:tc>
        <w:tc>
          <w:tcPr>
            <w:tcW w:w="1544" w:type="dxa"/>
            <w:shd w:val="clear" w:color="auto" w:fill="auto"/>
            <w:vAlign w:val="center"/>
          </w:tcPr>
          <w:p w14:paraId="745116AE" w14:textId="77777777" w:rsidR="008C1F7A" w:rsidRPr="00301868" w:rsidRDefault="008C1F7A" w:rsidP="008C1F7A">
            <w:pPr>
              <w:widowControl w:val="0"/>
              <w:spacing w:after="0" w:line="240" w:lineRule="auto"/>
              <w:ind w:firstLine="0"/>
              <w:jc w:val="center"/>
              <w:rPr>
                <w:rFonts w:eastAsia="MS Mincho"/>
                <w:spacing w:val="-4"/>
                <w:sz w:val="24"/>
                <w:szCs w:val="24"/>
                <w:lang w:val="pt-BR"/>
              </w:rPr>
            </w:pPr>
            <w:r w:rsidRPr="00301868">
              <w:rPr>
                <w:rFonts w:eastAsia="MS Mincho"/>
                <w:spacing w:val="-4"/>
                <w:sz w:val="24"/>
                <w:szCs w:val="24"/>
                <w:lang w:val="pt-BR"/>
              </w:rPr>
              <w:t>-</w:t>
            </w:r>
          </w:p>
        </w:tc>
        <w:tc>
          <w:tcPr>
            <w:tcW w:w="2506" w:type="dxa"/>
            <w:shd w:val="clear" w:color="auto" w:fill="auto"/>
            <w:vAlign w:val="center"/>
          </w:tcPr>
          <w:p w14:paraId="65E00EA4" w14:textId="77777777" w:rsidR="008C1F7A" w:rsidRPr="00301868" w:rsidRDefault="008C1F7A" w:rsidP="008C1F7A">
            <w:pPr>
              <w:widowControl w:val="0"/>
              <w:spacing w:after="0" w:line="240" w:lineRule="auto"/>
              <w:ind w:firstLine="0"/>
              <w:jc w:val="center"/>
              <w:rPr>
                <w:rFonts w:eastAsia="MS Mincho"/>
                <w:spacing w:val="-4"/>
                <w:sz w:val="24"/>
                <w:szCs w:val="24"/>
                <w:lang w:val="pt-BR"/>
              </w:rPr>
            </w:pPr>
            <w:r w:rsidRPr="00301868">
              <w:rPr>
                <w:rFonts w:eastAsia="MS Mincho"/>
                <w:spacing w:val="-4"/>
                <w:sz w:val="24"/>
                <w:szCs w:val="24"/>
                <w:lang w:val="pt-BR"/>
              </w:rPr>
              <w:t xml:space="preserve">             13,4</w:t>
            </w:r>
          </w:p>
        </w:tc>
        <w:tc>
          <w:tcPr>
            <w:tcW w:w="1260" w:type="dxa"/>
            <w:shd w:val="clear" w:color="auto" w:fill="auto"/>
            <w:vAlign w:val="center"/>
          </w:tcPr>
          <w:p w14:paraId="5F9E861D" w14:textId="77777777" w:rsidR="008C1F7A" w:rsidRPr="00301868" w:rsidRDefault="008C1F7A" w:rsidP="008C1F7A">
            <w:pPr>
              <w:widowControl w:val="0"/>
              <w:spacing w:after="0" w:line="240" w:lineRule="auto"/>
              <w:ind w:firstLine="0"/>
              <w:jc w:val="center"/>
              <w:rPr>
                <w:rFonts w:eastAsia="MS Mincho"/>
                <w:bCs/>
                <w:spacing w:val="-4"/>
                <w:sz w:val="24"/>
                <w:szCs w:val="24"/>
                <w:lang w:val="pt-BR"/>
              </w:rPr>
            </w:pPr>
            <w:r w:rsidRPr="00301868">
              <w:rPr>
                <w:rFonts w:eastAsia="MS Mincho"/>
                <w:bCs/>
                <w:spacing w:val="-4"/>
                <w:sz w:val="24"/>
                <w:szCs w:val="24"/>
                <w:lang w:val="pt-BR"/>
              </w:rPr>
              <w:t>100</w:t>
            </w:r>
          </w:p>
        </w:tc>
      </w:tr>
    </w:tbl>
    <w:p w14:paraId="160B9EF4" w14:textId="77777777" w:rsidR="008C1F7A" w:rsidRPr="00301868" w:rsidRDefault="008C1F7A" w:rsidP="008C1F7A">
      <w:pPr>
        <w:spacing w:before="60" w:after="0" w:line="240" w:lineRule="auto"/>
        <w:ind w:firstLine="0"/>
        <w:jc w:val="left"/>
        <w:rPr>
          <w:rFonts w:eastAsia="Calibri"/>
          <w:sz w:val="24"/>
          <w:szCs w:val="24"/>
        </w:rPr>
      </w:pPr>
      <w:r w:rsidRPr="00301868">
        <w:rPr>
          <w:rFonts w:eastAsia="Calibri"/>
          <w:i/>
          <w:sz w:val="24"/>
          <w:szCs w:val="24"/>
        </w:rPr>
        <w:t xml:space="preserve">Nguồn: </w:t>
      </w:r>
      <w:r w:rsidRPr="00301868">
        <w:rPr>
          <w:rFonts w:eastAsia="Calibri"/>
          <w:i/>
          <w:sz w:val="24"/>
          <w:szCs w:val="24"/>
        </w:rPr>
        <w:tab/>
      </w:r>
      <w:r w:rsidRPr="00301868">
        <w:rPr>
          <w:rFonts w:eastAsia="Calibri"/>
          <w:sz w:val="24"/>
          <w:szCs w:val="24"/>
        </w:rPr>
        <w:t>Báo cáo của Bảo hiểm xã hội Việt Nam</w:t>
      </w:r>
    </w:p>
    <w:p w14:paraId="111BEF57" w14:textId="77777777" w:rsidR="008C1F7A" w:rsidRPr="00301868" w:rsidRDefault="008C1F7A" w:rsidP="001875BF">
      <w:r w:rsidRPr="00301868">
        <w:t xml:space="preserve">- Về số dư đầu tư: Hàng năm BHXH Việt Nam đều ưu tiên tập trung vào mua TPCP, </w:t>
      </w:r>
    </w:p>
    <w:p w14:paraId="2696D342" w14:textId="3B0FAAD5" w:rsidR="008C1F7A" w:rsidRPr="00301868" w:rsidRDefault="008C1F7A" w:rsidP="001875BF">
      <w:r w:rsidRPr="00301868">
        <w:t>Tỷ lệ đầu tư quỹ BHXH vào các Ngân hàng thương mại được duy trì ở mức thấp, tuy nhiên hình thức đầu tư vào các ngân hàng này được mở rộng hơn, bao gồm gửi tiền, mua trái phiếu, chứng chỉ tiền gửi. Tính đến ngày 31 tháng 12 năm 2019, số dư đầu tư vào các Ngân hàng thương mại ước đạt 110.269,3 tỷ đồng, chiếm 13,5% tổng số dư đầu tư quỹ. Trong đó, gửi tiền 11,8%, mua trái phiếu, chứng chỉ tiền gửi ngân hàng chiếm 1,6%, cho vay (cũ) chiếm 0,1% tổng số dư đầu tư quỹ. Số đầu mối gửi tiền tại các ngân hàng thương mại tính đến thời điểm 31 tháng 12 hằng năm, giai đoạn từ 2016</w:t>
      </w:r>
      <w:r w:rsidR="00CB18DF" w:rsidRPr="00301868">
        <w:t>-</w:t>
      </w:r>
      <w:r w:rsidRPr="00301868">
        <w:t xml:space="preserve">2019 được thể hiện trong Biểu 13. </w:t>
      </w:r>
    </w:p>
    <w:p w14:paraId="61E3E34F" w14:textId="67454B6B" w:rsidR="008C1F7A" w:rsidRPr="00301868" w:rsidRDefault="008C1F7A" w:rsidP="008C1F7A">
      <w:pPr>
        <w:spacing w:after="0" w:line="240" w:lineRule="auto"/>
        <w:ind w:firstLine="0"/>
        <w:jc w:val="center"/>
        <w:rPr>
          <w:rFonts w:eastAsia="MS Mincho"/>
          <w:b/>
          <w:lang w:val="pt-BR"/>
        </w:rPr>
      </w:pPr>
      <w:r w:rsidRPr="00301868">
        <w:rPr>
          <w:rFonts w:eastAsia="Calibri"/>
          <w:b/>
        </w:rPr>
        <w:lastRenderedPageBreak/>
        <w:t xml:space="preserve">Biểu 13: </w:t>
      </w:r>
      <w:r w:rsidRPr="00301868">
        <w:rPr>
          <w:rFonts w:eastAsia="MS Mincho"/>
          <w:b/>
          <w:lang w:val="pt-BR"/>
        </w:rPr>
        <w:t>đầu mối gửi tiền tại các ngân hàng thương mại                                                    giai đoạn 2016</w:t>
      </w:r>
      <w:r w:rsidR="00CB18DF" w:rsidRPr="00301868">
        <w:rPr>
          <w:rFonts w:eastAsia="MS Mincho"/>
          <w:b/>
          <w:lang w:val="pt-BR"/>
        </w:rPr>
        <w:t>-</w:t>
      </w:r>
      <w:r w:rsidRPr="00301868">
        <w:rPr>
          <w:rFonts w:eastAsia="MS Mincho"/>
          <w:b/>
          <w:lang w:val="pt-BR"/>
        </w:rPr>
        <w:t>2019</w:t>
      </w:r>
    </w:p>
    <w:p w14:paraId="7E9432ED" w14:textId="77777777" w:rsidR="008C1F7A" w:rsidRPr="00301868" w:rsidRDefault="008C1F7A" w:rsidP="008C1F7A">
      <w:pPr>
        <w:widowControl w:val="0"/>
        <w:spacing w:before="80" w:after="0" w:line="340" w:lineRule="exact"/>
        <w:ind w:firstLine="709"/>
        <w:jc w:val="right"/>
        <w:rPr>
          <w:rFonts w:eastAsia="MS Mincho"/>
          <w:i/>
          <w:spacing w:val="-4"/>
          <w:sz w:val="24"/>
          <w:szCs w:val="24"/>
          <w:lang w:val="pt-BR"/>
        </w:rPr>
      </w:pPr>
      <w:r w:rsidRPr="00301868">
        <w:rPr>
          <w:rFonts w:eastAsia="MS Mincho"/>
          <w:i/>
          <w:spacing w:val="-4"/>
          <w:sz w:val="24"/>
          <w:szCs w:val="24"/>
          <w:lang w:val="pt-BR"/>
        </w:rPr>
        <w:t>Đơn vị tính: đầu mối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416"/>
        <w:gridCol w:w="1329"/>
        <w:gridCol w:w="1329"/>
        <w:gridCol w:w="1416"/>
      </w:tblGrid>
      <w:tr w:rsidR="008C1F7A" w:rsidRPr="00301868" w14:paraId="58B22FD8" w14:textId="77777777" w:rsidTr="00CB18DF">
        <w:tc>
          <w:tcPr>
            <w:tcW w:w="3690" w:type="dxa"/>
            <w:shd w:val="clear" w:color="auto" w:fill="auto"/>
          </w:tcPr>
          <w:p w14:paraId="1672AE27" w14:textId="77777777" w:rsidR="008C1F7A" w:rsidRPr="00301868" w:rsidRDefault="008C1F7A" w:rsidP="008C1F7A">
            <w:pPr>
              <w:widowControl w:val="0"/>
              <w:spacing w:before="60" w:after="60" w:line="240" w:lineRule="auto"/>
              <w:ind w:firstLine="0"/>
              <w:jc w:val="center"/>
              <w:rPr>
                <w:rFonts w:eastAsia="MS Mincho"/>
                <w:b/>
                <w:spacing w:val="-4"/>
                <w:sz w:val="26"/>
                <w:szCs w:val="26"/>
                <w:lang w:val="pt-BR"/>
              </w:rPr>
            </w:pPr>
            <w:r w:rsidRPr="00301868">
              <w:rPr>
                <w:rFonts w:eastAsia="MS Mincho"/>
                <w:b/>
                <w:spacing w:val="-4"/>
                <w:sz w:val="26"/>
                <w:szCs w:val="26"/>
                <w:lang w:val="pt-BR"/>
              </w:rPr>
              <w:t>Tên ngân hàng</w:t>
            </w:r>
          </w:p>
        </w:tc>
        <w:tc>
          <w:tcPr>
            <w:tcW w:w="1440" w:type="dxa"/>
            <w:shd w:val="clear" w:color="auto" w:fill="auto"/>
          </w:tcPr>
          <w:p w14:paraId="488FD1FA" w14:textId="77777777" w:rsidR="008C1F7A" w:rsidRPr="00301868" w:rsidRDefault="008C1F7A" w:rsidP="008C1F7A">
            <w:pPr>
              <w:widowControl w:val="0"/>
              <w:spacing w:before="60" w:after="60" w:line="240" w:lineRule="auto"/>
              <w:ind w:firstLine="0"/>
              <w:jc w:val="center"/>
              <w:rPr>
                <w:rFonts w:eastAsia="MS Mincho"/>
                <w:b/>
                <w:spacing w:val="-4"/>
                <w:sz w:val="26"/>
                <w:szCs w:val="26"/>
                <w:lang w:val="pt-BR"/>
              </w:rPr>
            </w:pPr>
            <w:r w:rsidRPr="00301868">
              <w:rPr>
                <w:rFonts w:eastAsia="MS Mincho"/>
                <w:b/>
                <w:spacing w:val="-4"/>
                <w:sz w:val="26"/>
                <w:szCs w:val="26"/>
                <w:lang w:val="pt-BR"/>
              </w:rPr>
              <w:t>Năm 2016</w:t>
            </w:r>
          </w:p>
        </w:tc>
        <w:tc>
          <w:tcPr>
            <w:tcW w:w="1350" w:type="dxa"/>
            <w:shd w:val="clear" w:color="auto" w:fill="auto"/>
          </w:tcPr>
          <w:p w14:paraId="50774C6B" w14:textId="77777777" w:rsidR="008C1F7A" w:rsidRPr="00301868" w:rsidRDefault="008C1F7A" w:rsidP="008C1F7A">
            <w:pPr>
              <w:widowControl w:val="0"/>
              <w:spacing w:before="60" w:after="60" w:line="240" w:lineRule="auto"/>
              <w:ind w:firstLine="0"/>
              <w:jc w:val="center"/>
              <w:rPr>
                <w:rFonts w:eastAsia="MS Mincho"/>
                <w:b/>
                <w:spacing w:val="-4"/>
                <w:sz w:val="26"/>
                <w:szCs w:val="26"/>
                <w:lang w:val="pt-BR"/>
              </w:rPr>
            </w:pPr>
            <w:r w:rsidRPr="00301868">
              <w:rPr>
                <w:rFonts w:eastAsia="MS Mincho"/>
                <w:b/>
                <w:spacing w:val="-4"/>
                <w:sz w:val="26"/>
                <w:szCs w:val="26"/>
                <w:lang w:val="pt-BR"/>
              </w:rPr>
              <w:t>Năm 2017</w:t>
            </w:r>
          </w:p>
        </w:tc>
        <w:tc>
          <w:tcPr>
            <w:tcW w:w="1350" w:type="dxa"/>
            <w:shd w:val="clear" w:color="auto" w:fill="auto"/>
          </w:tcPr>
          <w:p w14:paraId="0BBB9498" w14:textId="77777777" w:rsidR="008C1F7A" w:rsidRPr="00301868" w:rsidRDefault="008C1F7A" w:rsidP="008C1F7A">
            <w:pPr>
              <w:widowControl w:val="0"/>
              <w:spacing w:before="60" w:after="60" w:line="240" w:lineRule="auto"/>
              <w:ind w:firstLine="0"/>
              <w:jc w:val="center"/>
              <w:rPr>
                <w:rFonts w:eastAsia="MS Mincho"/>
                <w:b/>
                <w:spacing w:val="-4"/>
                <w:sz w:val="26"/>
                <w:szCs w:val="26"/>
                <w:lang w:val="pt-BR"/>
              </w:rPr>
            </w:pPr>
            <w:r w:rsidRPr="00301868">
              <w:rPr>
                <w:rFonts w:eastAsia="MS Mincho"/>
                <w:b/>
                <w:spacing w:val="-4"/>
                <w:sz w:val="26"/>
                <w:szCs w:val="26"/>
                <w:lang w:val="pt-BR"/>
              </w:rPr>
              <w:t>Năm 2018</w:t>
            </w:r>
          </w:p>
        </w:tc>
        <w:tc>
          <w:tcPr>
            <w:tcW w:w="1440" w:type="dxa"/>
            <w:shd w:val="clear" w:color="auto" w:fill="auto"/>
          </w:tcPr>
          <w:p w14:paraId="36403807" w14:textId="77777777" w:rsidR="008C1F7A" w:rsidRPr="00301868" w:rsidRDefault="008C1F7A" w:rsidP="008C1F7A">
            <w:pPr>
              <w:widowControl w:val="0"/>
              <w:spacing w:before="60" w:after="60" w:line="240" w:lineRule="auto"/>
              <w:ind w:firstLine="0"/>
              <w:jc w:val="center"/>
              <w:rPr>
                <w:rFonts w:eastAsia="MS Mincho"/>
                <w:b/>
                <w:spacing w:val="-4"/>
                <w:sz w:val="26"/>
                <w:szCs w:val="26"/>
                <w:lang w:val="pt-BR"/>
              </w:rPr>
            </w:pPr>
            <w:r w:rsidRPr="00301868">
              <w:rPr>
                <w:rFonts w:eastAsia="MS Mincho"/>
                <w:b/>
                <w:spacing w:val="-4"/>
                <w:sz w:val="26"/>
                <w:szCs w:val="26"/>
                <w:lang w:val="pt-BR"/>
              </w:rPr>
              <w:t>Năm 2019</w:t>
            </w:r>
          </w:p>
        </w:tc>
      </w:tr>
      <w:tr w:rsidR="008C1F7A" w:rsidRPr="00301868" w14:paraId="3FA7F5A2" w14:textId="77777777" w:rsidTr="00CB18DF">
        <w:tc>
          <w:tcPr>
            <w:tcW w:w="3690" w:type="dxa"/>
            <w:shd w:val="clear" w:color="auto" w:fill="auto"/>
          </w:tcPr>
          <w:p w14:paraId="46E2605D" w14:textId="77777777" w:rsidR="008C1F7A" w:rsidRPr="00301868" w:rsidRDefault="008C1F7A" w:rsidP="008C1F7A">
            <w:pPr>
              <w:widowControl w:val="0"/>
              <w:spacing w:before="60" w:after="60" w:line="240" w:lineRule="auto"/>
              <w:ind w:firstLine="0"/>
              <w:rPr>
                <w:rFonts w:eastAsia="MS Mincho"/>
                <w:spacing w:val="-4"/>
                <w:sz w:val="26"/>
                <w:szCs w:val="26"/>
                <w:lang w:val="pt-BR"/>
              </w:rPr>
            </w:pPr>
            <w:r w:rsidRPr="00301868">
              <w:rPr>
                <w:rFonts w:eastAsia="MS Mincho"/>
                <w:spacing w:val="-4"/>
                <w:sz w:val="26"/>
                <w:szCs w:val="26"/>
                <w:lang w:val="pt-BR"/>
              </w:rPr>
              <w:t xml:space="preserve">1. Ngân hàng Nông nghiệp và Phát triển Nông thôn Việt Nam </w:t>
            </w:r>
          </w:p>
        </w:tc>
        <w:tc>
          <w:tcPr>
            <w:tcW w:w="1440" w:type="dxa"/>
            <w:shd w:val="clear" w:color="auto" w:fill="auto"/>
          </w:tcPr>
          <w:p w14:paraId="7597A307"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55563C2D"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684F7545"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440" w:type="dxa"/>
            <w:shd w:val="clear" w:color="auto" w:fill="auto"/>
          </w:tcPr>
          <w:p w14:paraId="4B52B99F"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r>
      <w:tr w:rsidR="008C1F7A" w:rsidRPr="00301868" w14:paraId="539B4068" w14:textId="77777777" w:rsidTr="00CB18DF">
        <w:tc>
          <w:tcPr>
            <w:tcW w:w="3690" w:type="dxa"/>
            <w:shd w:val="clear" w:color="auto" w:fill="auto"/>
          </w:tcPr>
          <w:p w14:paraId="29871EC5" w14:textId="77777777" w:rsidR="008C1F7A" w:rsidRPr="00301868" w:rsidRDefault="008C1F7A" w:rsidP="008C1F7A">
            <w:pPr>
              <w:widowControl w:val="0"/>
              <w:spacing w:before="60" w:after="60" w:line="240" w:lineRule="auto"/>
              <w:ind w:firstLine="0"/>
              <w:rPr>
                <w:rFonts w:eastAsia="MS Mincho"/>
                <w:spacing w:val="-4"/>
                <w:sz w:val="26"/>
                <w:szCs w:val="26"/>
                <w:lang w:val="pt-BR"/>
              </w:rPr>
            </w:pPr>
            <w:r w:rsidRPr="00301868">
              <w:rPr>
                <w:rFonts w:eastAsia="MS Mincho"/>
                <w:spacing w:val="-4"/>
                <w:sz w:val="26"/>
                <w:szCs w:val="26"/>
                <w:lang w:val="pt-BR"/>
              </w:rPr>
              <w:t xml:space="preserve">2. Ngân hàng Thương mại cổ phần Đầu tư và Phát triển Việt Nam </w:t>
            </w:r>
          </w:p>
        </w:tc>
        <w:tc>
          <w:tcPr>
            <w:tcW w:w="1440" w:type="dxa"/>
            <w:shd w:val="clear" w:color="auto" w:fill="auto"/>
          </w:tcPr>
          <w:p w14:paraId="3FB43A04" w14:textId="77777777" w:rsidR="008C1F7A" w:rsidRPr="00301868" w:rsidRDefault="008C1F7A" w:rsidP="008C1F7A">
            <w:pPr>
              <w:widowControl w:val="0"/>
              <w:spacing w:after="0" w:line="240" w:lineRule="auto"/>
              <w:ind w:firstLine="0"/>
              <w:jc w:val="center"/>
              <w:rPr>
                <w:rFonts w:eastAsia="MS Mincho"/>
                <w:spacing w:val="-4"/>
                <w:sz w:val="26"/>
                <w:szCs w:val="26"/>
                <w:lang w:val="pt-BR"/>
              </w:rPr>
            </w:pPr>
          </w:p>
          <w:p w14:paraId="00228C1D" w14:textId="77777777" w:rsidR="008C1F7A" w:rsidRPr="00301868" w:rsidRDefault="008C1F7A" w:rsidP="008C1F7A">
            <w:pPr>
              <w:widowControl w:val="0"/>
              <w:spacing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4865F426" w14:textId="77777777" w:rsidR="008C1F7A" w:rsidRPr="00301868" w:rsidRDefault="008C1F7A" w:rsidP="008C1F7A">
            <w:pPr>
              <w:widowControl w:val="0"/>
              <w:spacing w:after="0" w:line="240" w:lineRule="auto"/>
              <w:ind w:firstLine="0"/>
              <w:jc w:val="center"/>
              <w:rPr>
                <w:rFonts w:eastAsia="MS Mincho"/>
                <w:spacing w:val="-4"/>
                <w:sz w:val="26"/>
                <w:szCs w:val="26"/>
                <w:lang w:val="pt-BR"/>
              </w:rPr>
            </w:pPr>
          </w:p>
          <w:p w14:paraId="0A5437D1" w14:textId="77777777" w:rsidR="008C1F7A" w:rsidRPr="00301868" w:rsidRDefault="008C1F7A" w:rsidP="008C1F7A">
            <w:pPr>
              <w:widowControl w:val="0"/>
              <w:spacing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5BEDFEE7" w14:textId="77777777" w:rsidR="008C1F7A" w:rsidRPr="00301868" w:rsidRDefault="008C1F7A" w:rsidP="008C1F7A">
            <w:pPr>
              <w:widowControl w:val="0"/>
              <w:spacing w:after="0" w:line="240" w:lineRule="auto"/>
              <w:ind w:firstLine="0"/>
              <w:jc w:val="center"/>
              <w:rPr>
                <w:rFonts w:eastAsia="MS Mincho"/>
                <w:spacing w:val="-4"/>
                <w:sz w:val="26"/>
                <w:szCs w:val="26"/>
                <w:lang w:val="pt-BR"/>
              </w:rPr>
            </w:pPr>
          </w:p>
          <w:p w14:paraId="5458C3AD" w14:textId="77777777" w:rsidR="008C1F7A" w:rsidRPr="00301868" w:rsidRDefault="008C1F7A" w:rsidP="008C1F7A">
            <w:pPr>
              <w:widowControl w:val="0"/>
              <w:spacing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440" w:type="dxa"/>
            <w:shd w:val="clear" w:color="auto" w:fill="auto"/>
          </w:tcPr>
          <w:p w14:paraId="6C57A2EE" w14:textId="77777777" w:rsidR="008C1F7A" w:rsidRPr="00301868" w:rsidRDefault="008C1F7A" w:rsidP="008C1F7A">
            <w:pPr>
              <w:widowControl w:val="0"/>
              <w:spacing w:after="0" w:line="240" w:lineRule="auto"/>
              <w:ind w:firstLine="0"/>
              <w:jc w:val="center"/>
              <w:rPr>
                <w:rFonts w:eastAsia="MS Mincho"/>
                <w:spacing w:val="-4"/>
                <w:sz w:val="26"/>
                <w:szCs w:val="26"/>
                <w:lang w:val="pt-BR"/>
              </w:rPr>
            </w:pPr>
          </w:p>
          <w:p w14:paraId="7912718E" w14:textId="77777777" w:rsidR="008C1F7A" w:rsidRPr="00301868" w:rsidRDefault="008C1F7A" w:rsidP="008C1F7A">
            <w:pPr>
              <w:widowControl w:val="0"/>
              <w:spacing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r>
      <w:tr w:rsidR="008C1F7A" w:rsidRPr="00301868" w14:paraId="122E88DF" w14:textId="77777777" w:rsidTr="00CB18DF">
        <w:tc>
          <w:tcPr>
            <w:tcW w:w="3690" w:type="dxa"/>
            <w:shd w:val="clear" w:color="auto" w:fill="auto"/>
          </w:tcPr>
          <w:p w14:paraId="0602BE4F" w14:textId="77777777" w:rsidR="008C1F7A" w:rsidRPr="00301868" w:rsidRDefault="008C1F7A" w:rsidP="008C1F7A">
            <w:pPr>
              <w:widowControl w:val="0"/>
              <w:spacing w:before="60" w:after="60" w:line="240" w:lineRule="auto"/>
              <w:ind w:firstLine="0"/>
              <w:rPr>
                <w:rFonts w:eastAsia="MS Mincho"/>
                <w:spacing w:val="-4"/>
                <w:sz w:val="26"/>
                <w:szCs w:val="26"/>
                <w:lang w:val="pt-BR"/>
              </w:rPr>
            </w:pPr>
            <w:r w:rsidRPr="00301868">
              <w:rPr>
                <w:rFonts w:eastAsia="MS Mincho"/>
                <w:spacing w:val="-4"/>
                <w:sz w:val="26"/>
                <w:szCs w:val="26"/>
                <w:lang w:val="pt-BR"/>
              </w:rPr>
              <w:t>3. Ngân hàng Thương mại cổ phần Công thương Việt Nam</w:t>
            </w:r>
          </w:p>
        </w:tc>
        <w:tc>
          <w:tcPr>
            <w:tcW w:w="1440" w:type="dxa"/>
            <w:shd w:val="clear" w:color="auto" w:fill="auto"/>
          </w:tcPr>
          <w:p w14:paraId="324B9F16"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1A22E649"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47E94973"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440" w:type="dxa"/>
            <w:shd w:val="clear" w:color="auto" w:fill="auto"/>
          </w:tcPr>
          <w:p w14:paraId="5BB38CD4"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r>
      <w:tr w:rsidR="008C1F7A" w:rsidRPr="00301868" w14:paraId="64679E46" w14:textId="77777777" w:rsidTr="00CB18DF">
        <w:tc>
          <w:tcPr>
            <w:tcW w:w="3690" w:type="dxa"/>
            <w:shd w:val="clear" w:color="auto" w:fill="auto"/>
          </w:tcPr>
          <w:p w14:paraId="1E457D0D" w14:textId="77777777" w:rsidR="008C1F7A" w:rsidRPr="00301868" w:rsidRDefault="008C1F7A" w:rsidP="008C1F7A">
            <w:pPr>
              <w:widowControl w:val="0"/>
              <w:spacing w:before="60" w:after="60" w:line="240" w:lineRule="auto"/>
              <w:ind w:firstLine="0"/>
              <w:rPr>
                <w:rFonts w:eastAsia="MS Mincho"/>
                <w:spacing w:val="-4"/>
                <w:sz w:val="26"/>
                <w:szCs w:val="26"/>
                <w:lang w:val="pt-BR"/>
              </w:rPr>
            </w:pPr>
            <w:r w:rsidRPr="00301868">
              <w:rPr>
                <w:rFonts w:eastAsia="MS Mincho"/>
                <w:spacing w:val="-4"/>
                <w:sz w:val="26"/>
                <w:szCs w:val="26"/>
                <w:lang w:val="pt-BR"/>
              </w:rPr>
              <w:t>4. Ngân hàng Thương mại cổ phần Ngoại thương Việt Nam</w:t>
            </w:r>
          </w:p>
        </w:tc>
        <w:tc>
          <w:tcPr>
            <w:tcW w:w="1440" w:type="dxa"/>
            <w:shd w:val="clear" w:color="auto" w:fill="auto"/>
          </w:tcPr>
          <w:p w14:paraId="6ADB0B60"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70504FCB"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54120A91"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440" w:type="dxa"/>
            <w:shd w:val="clear" w:color="auto" w:fill="auto"/>
          </w:tcPr>
          <w:p w14:paraId="532C4533"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r>
      <w:tr w:rsidR="008C1F7A" w:rsidRPr="00301868" w14:paraId="2F63C72A" w14:textId="77777777" w:rsidTr="00CB18DF">
        <w:tc>
          <w:tcPr>
            <w:tcW w:w="3690" w:type="dxa"/>
            <w:shd w:val="clear" w:color="auto" w:fill="auto"/>
          </w:tcPr>
          <w:p w14:paraId="762FE115" w14:textId="77777777" w:rsidR="008C1F7A" w:rsidRPr="00301868" w:rsidRDefault="008C1F7A" w:rsidP="008C1F7A">
            <w:pPr>
              <w:widowControl w:val="0"/>
              <w:spacing w:before="60" w:after="60" w:line="240" w:lineRule="auto"/>
              <w:ind w:firstLine="0"/>
              <w:rPr>
                <w:rFonts w:eastAsia="MS Mincho"/>
                <w:spacing w:val="-4"/>
                <w:sz w:val="26"/>
                <w:szCs w:val="26"/>
                <w:lang w:val="pt-BR"/>
              </w:rPr>
            </w:pPr>
            <w:r w:rsidRPr="00301868">
              <w:rPr>
                <w:rFonts w:eastAsia="MS Mincho"/>
                <w:spacing w:val="-4"/>
                <w:sz w:val="26"/>
                <w:szCs w:val="26"/>
                <w:lang w:val="pt-BR"/>
              </w:rPr>
              <w:t>5. Ngân hàng Chính sách xã hội</w:t>
            </w:r>
          </w:p>
        </w:tc>
        <w:tc>
          <w:tcPr>
            <w:tcW w:w="1440" w:type="dxa"/>
            <w:shd w:val="clear" w:color="auto" w:fill="auto"/>
          </w:tcPr>
          <w:p w14:paraId="25DAD3EC" w14:textId="77777777" w:rsidR="008C1F7A" w:rsidRPr="00301868" w:rsidRDefault="008C1F7A" w:rsidP="008C1F7A">
            <w:pPr>
              <w:widowControl w:val="0"/>
              <w:spacing w:before="60" w:after="6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5700D0C9" w14:textId="77777777" w:rsidR="008C1F7A" w:rsidRPr="00301868" w:rsidRDefault="008C1F7A" w:rsidP="008C1F7A">
            <w:pPr>
              <w:widowControl w:val="0"/>
              <w:spacing w:before="60" w:after="60" w:line="240" w:lineRule="auto"/>
              <w:ind w:firstLine="0"/>
              <w:jc w:val="center"/>
              <w:rPr>
                <w:rFonts w:eastAsia="MS Mincho"/>
                <w:spacing w:val="-4"/>
                <w:sz w:val="26"/>
                <w:szCs w:val="26"/>
                <w:lang w:val="pt-BR"/>
              </w:rPr>
            </w:pPr>
            <w:r w:rsidRPr="00301868">
              <w:rPr>
                <w:rFonts w:eastAsia="MS Mincho"/>
                <w:spacing w:val="-4"/>
                <w:sz w:val="26"/>
                <w:szCs w:val="26"/>
                <w:lang w:val="pt-BR"/>
              </w:rPr>
              <w:t>0</w:t>
            </w:r>
          </w:p>
        </w:tc>
        <w:tc>
          <w:tcPr>
            <w:tcW w:w="1350" w:type="dxa"/>
            <w:shd w:val="clear" w:color="auto" w:fill="auto"/>
          </w:tcPr>
          <w:p w14:paraId="555696DF" w14:textId="77777777" w:rsidR="008C1F7A" w:rsidRPr="00301868" w:rsidRDefault="008C1F7A" w:rsidP="008C1F7A">
            <w:pPr>
              <w:widowControl w:val="0"/>
              <w:spacing w:before="60" w:after="60" w:line="240" w:lineRule="auto"/>
              <w:ind w:firstLine="0"/>
              <w:jc w:val="center"/>
              <w:rPr>
                <w:rFonts w:eastAsia="MS Mincho"/>
                <w:spacing w:val="-4"/>
                <w:sz w:val="26"/>
                <w:szCs w:val="26"/>
                <w:lang w:val="pt-BR"/>
              </w:rPr>
            </w:pPr>
            <w:r w:rsidRPr="00301868">
              <w:rPr>
                <w:rFonts w:eastAsia="MS Mincho"/>
                <w:spacing w:val="-4"/>
                <w:sz w:val="26"/>
                <w:szCs w:val="26"/>
                <w:lang w:val="pt-BR"/>
              </w:rPr>
              <w:t>0</w:t>
            </w:r>
          </w:p>
        </w:tc>
        <w:tc>
          <w:tcPr>
            <w:tcW w:w="1440" w:type="dxa"/>
            <w:shd w:val="clear" w:color="auto" w:fill="auto"/>
          </w:tcPr>
          <w:p w14:paraId="75E6B968" w14:textId="77777777" w:rsidR="008C1F7A" w:rsidRPr="00301868" w:rsidRDefault="008C1F7A" w:rsidP="008C1F7A">
            <w:pPr>
              <w:widowControl w:val="0"/>
              <w:spacing w:before="60" w:after="60" w:line="240" w:lineRule="auto"/>
              <w:ind w:firstLine="0"/>
              <w:jc w:val="center"/>
              <w:rPr>
                <w:rFonts w:eastAsia="MS Mincho"/>
                <w:spacing w:val="-4"/>
                <w:sz w:val="26"/>
                <w:szCs w:val="26"/>
                <w:lang w:val="pt-BR"/>
              </w:rPr>
            </w:pPr>
            <w:r w:rsidRPr="00301868">
              <w:rPr>
                <w:rFonts w:eastAsia="MS Mincho"/>
                <w:spacing w:val="-4"/>
                <w:sz w:val="26"/>
                <w:szCs w:val="26"/>
                <w:lang w:val="pt-BR"/>
              </w:rPr>
              <w:t>0</w:t>
            </w:r>
          </w:p>
        </w:tc>
      </w:tr>
      <w:tr w:rsidR="008C1F7A" w:rsidRPr="00301868" w14:paraId="214852FB" w14:textId="77777777" w:rsidTr="00CB18DF">
        <w:tc>
          <w:tcPr>
            <w:tcW w:w="3690" w:type="dxa"/>
            <w:shd w:val="clear" w:color="auto" w:fill="auto"/>
          </w:tcPr>
          <w:p w14:paraId="21DC5DD1" w14:textId="77777777" w:rsidR="008C1F7A" w:rsidRPr="00301868" w:rsidRDefault="008C1F7A" w:rsidP="008C1F7A">
            <w:pPr>
              <w:widowControl w:val="0"/>
              <w:spacing w:before="60" w:after="60" w:line="240" w:lineRule="auto"/>
              <w:ind w:firstLine="0"/>
              <w:rPr>
                <w:rFonts w:eastAsia="MS Mincho"/>
                <w:spacing w:val="-4"/>
                <w:sz w:val="26"/>
                <w:szCs w:val="26"/>
                <w:lang w:val="pt-BR"/>
              </w:rPr>
            </w:pPr>
            <w:r w:rsidRPr="00301868">
              <w:rPr>
                <w:rFonts w:eastAsia="MS Mincho"/>
                <w:spacing w:val="-4"/>
                <w:sz w:val="26"/>
                <w:szCs w:val="26"/>
                <w:lang w:val="pt-BR"/>
              </w:rPr>
              <w:t>6. Ngân hàng Thương mại cổ phần Quân đội</w:t>
            </w:r>
          </w:p>
        </w:tc>
        <w:tc>
          <w:tcPr>
            <w:tcW w:w="1440" w:type="dxa"/>
            <w:shd w:val="clear" w:color="auto" w:fill="auto"/>
          </w:tcPr>
          <w:p w14:paraId="1E07E050"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2F35182F"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350" w:type="dxa"/>
            <w:shd w:val="clear" w:color="auto" w:fill="auto"/>
          </w:tcPr>
          <w:p w14:paraId="22ED829E"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c>
          <w:tcPr>
            <w:tcW w:w="1440" w:type="dxa"/>
            <w:shd w:val="clear" w:color="auto" w:fill="auto"/>
          </w:tcPr>
          <w:p w14:paraId="0CB89C14" w14:textId="77777777" w:rsidR="008C1F7A" w:rsidRPr="00301868" w:rsidRDefault="008C1F7A" w:rsidP="008C1F7A">
            <w:pPr>
              <w:widowControl w:val="0"/>
              <w:spacing w:before="120" w:after="0" w:line="240" w:lineRule="auto"/>
              <w:ind w:firstLine="0"/>
              <w:jc w:val="center"/>
              <w:rPr>
                <w:rFonts w:eastAsia="MS Mincho"/>
                <w:spacing w:val="-4"/>
                <w:sz w:val="26"/>
                <w:szCs w:val="26"/>
                <w:lang w:val="pt-BR"/>
              </w:rPr>
            </w:pPr>
            <w:r w:rsidRPr="00301868">
              <w:rPr>
                <w:rFonts w:eastAsia="MS Mincho"/>
                <w:spacing w:val="-4"/>
                <w:sz w:val="26"/>
                <w:szCs w:val="26"/>
                <w:lang w:val="pt-BR"/>
              </w:rPr>
              <w:t>1</w:t>
            </w:r>
          </w:p>
        </w:tc>
      </w:tr>
      <w:tr w:rsidR="008C1F7A" w:rsidRPr="00301868" w14:paraId="5DE0904A" w14:textId="77777777" w:rsidTr="00CB18DF">
        <w:tc>
          <w:tcPr>
            <w:tcW w:w="3690" w:type="dxa"/>
            <w:shd w:val="clear" w:color="auto" w:fill="auto"/>
          </w:tcPr>
          <w:p w14:paraId="6EA424FF" w14:textId="77777777" w:rsidR="008C1F7A" w:rsidRPr="00301868" w:rsidRDefault="008C1F7A" w:rsidP="008C1F7A">
            <w:pPr>
              <w:widowControl w:val="0"/>
              <w:spacing w:before="60" w:after="60" w:line="240" w:lineRule="auto"/>
              <w:rPr>
                <w:rFonts w:eastAsia="MS Mincho"/>
                <w:b/>
                <w:spacing w:val="-4"/>
                <w:sz w:val="26"/>
                <w:szCs w:val="26"/>
                <w:lang w:val="pt-BR"/>
              </w:rPr>
            </w:pPr>
            <w:r w:rsidRPr="00301868">
              <w:rPr>
                <w:rFonts w:eastAsia="MS Mincho"/>
                <w:b/>
                <w:spacing w:val="-4"/>
                <w:sz w:val="26"/>
                <w:szCs w:val="26"/>
                <w:lang w:val="pt-BR"/>
              </w:rPr>
              <w:t>Tổng cộng</w:t>
            </w:r>
          </w:p>
        </w:tc>
        <w:tc>
          <w:tcPr>
            <w:tcW w:w="1440" w:type="dxa"/>
            <w:shd w:val="clear" w:color="auto" w:fill="auto"/>
          </w:tcPr>
          <w:p w14:paraId="2A2C4539" w14:textId="77777777" w:rsidR="008C1F7A" w:rsidRPr="00301868" w:rsidRDefault="008C1F7A" w:rsidP="008C1F7A">
            <w:pPr>
              <w:widowControl w:val="0"/>
              <w:spacing w:before="60" w:after="60" w:line="240" w:lineRule="auto"/>
              <w:ind w:firstLine="0"/>
              <w:jc w:val="center"/>
              <w:rPr>
                <w:rFonts w:eastAsia="MS Mincho"/>
                <w:b/>
                <w:spacing w:val="-4"/>
                <w:sz w:val="26"/>
                <w:szCs w:val="26"/>
                <w:lang w:val="pt-BR"/>
              </w:rPr>
            </w:pPr>
            <w:r w:rsidRPr="00301868">
              <w:rPr>
                <w:rFonts w:eastAsia="MS Mincho"/>
                <w:b/>
                <w:spacing w:val="-4"/>
                <w:sz w:val="26"/>
                <w:szCs w:val="26"/>
                <w:lang w:val="pt-BR"/>
              </w:rPr>
              <w:t>6</w:t>
            </w:r>
          </w:p>
        </w:tc>
        <w:tc>
          <w:tcPr>
            <w:tcW w:w="1350" w:type="dxa"/>
            <w:shd w:val="clear" w:color="auto" w:fill="auto"/>
          </w:tcPr>
          <w:p w14:paraId="7F685579" w14:textId="77777777" w:rsidR="008C1F7A" w:rsidRPr="00301868" w:rsidRDefault="008C1F7A" w:rsidP="008C1F7A">
            <w:pPr>
              <w:widowControl w:val="0"/>
              <w:spacing w:before="60" w:after="60" w:line="240" w:lineRule="auto"/>
              <w:ind w:firstLine="0"/>
              <w:jc w:val="center"/>
              <w:rPr>
                <w:rFonts w:eastAsia="MS Mincho"/>
                <w:b/>
                <w:spacing w:val="-4"/>
                <w:sz w:val="26"/>
                <w:szCs w:val="26"/>
                <w:lang w:val="pt-BR"/>
              </w:rPr>
            </w:pPr>
            <w:r w:rsidRPr="00301868">
              <w:rPr>
                <w:rFonts w:eastAsia="MS Mincho"/>
                <w:b/>
                <w:spacing w:val="-4"/>
                <w:sz w:val="26"/>
                <w:szCs w:val="26"/>
                <w:lang w:val="pt-BR"/>
              </w:rPr>
              <w:t>5</w:t>
            </w:r>
          </w:p>
        </w:tc>
        <w:tc>
          <w:tcPr>
            <w:tcW w:w="1350" w:type="dxa"/>
            <w:shd w:val="clear" w:color="auto" w:fill="auto"/>
          </w:tcPr>
          <w:p w14:paraId="60A404E2" w14:textId="77777777" w:rsidR="008C1F7A" w:rsidRPr="00301868" w:rsidRDefault="008C1F7A" w:rsidP="008C1F7A">
            <w:pPr>
              <w:widowControl w:val="0"/>
              <w:spacing w:before="60" w:after="60" w:line="240" w:lineRule="auto"/>
              <w:ind w:firstLine="0"/>
              <w:jc w:val="center"/>
              <w:rPr>
                <w:rFonts w:eastAsia="MS Mincho"/>
                <w:b/>
                <w:spacing w:val="-4"/>
                <w:sz w:val="26"/>
                <w:szCs w:val="26"/>
                <w:lang w:val="pt-BR"/>
              </w:rPr>
            </w:pPr>
            <w:r w:rsidRPr="00301868">
              <w:rPr>
                <w:rFonts w:eastAsia="MS Mincho"/>
                <w:b/>
                <w:spacing w:val="-4"/>
                <w:sz w:val="26"/>
                <w:szCs w:val="26"/>
                <w:lang w:val="pt-BR"/>
              </w:rPr>
              <w:t>5</w:t>
            </w:r>
          </w:p>
        </w:tc>
        <w:tc>
          <w:tcPr>
            <w:tcW w:w="1440" w:type="dxa"/>
            <w:shd w:val="clear" w:color="auto" w:fill="auto"/>
          </w:tcPr>
          <w:p w14:paraId="0F5C2ABF" w14:textId="77777777" w:rsidR="008C1F7A" w:rsidRPr="00301868" w:rsidRDefault="008C1F7A" w:rsidP="008C1F7A">
            <w:pPr>
              <w:widowControl w:val="0"/>
              <w:spacing w:before="60" w:after="60" w:line="240" w:lineRule="auto"/>
              <w:ind w:firstLine="0"/>
              <w:jc w:val="center"/>
              <w:rPr>
                <w:rFonts w:eastAsia="MS Mincho"/>
                <w:b/>
                <w:spacing w:val="-4"/>
                <w:sz w:val="26"/>
                <w:szCs w:val="26"/>
                <w:lang w:val="pt-BR"/>
              </w:rPr>
            </w:pPr>
            <w:r w:rsidRPr="00301868">
              <w:rPr>
                <w:rFonts w:eastAsia="MS Mincho"/>
                <w:b/>
                <w:spacing w:val="-4"/>
                <w:sz w:val="26"/>
                <w:szCs w:val="26"/>
                <w:lang w:val="pt-BR"/>
              </w:rPr>
              <w:t>5</w:t>
            </w:r>
          </w:p>
        </w:tc>
      </w:tr>
    </w:tbl>
    <w:p w14:paraId="0B0C5BD9" w14:textId="77777777" w:rsidR="008C1F7A" w:rsidRPr="00301868" w:rsidRDefault="008C1F7A" w:rsidP="008C1F7A">
      <w:pPr>
        <w:spacing w:before="60" w:after="0" w:line="240" w:lineRule="auto"/>
        <w:ind w:firstLine="0"/>
        <w:jc w:val="left"/>
        <w:rPr>
          <w:rFonts w:eastAsia="Calibri"/>
          <w:sz w:val="24"/>
          <w:szCs w:val="24"/>
        </w:rPr>
      </w:pPr>
      <w:r w:rsidRPr="00301868">
        <w:rPr>
          <w:rFonts w:eastAsia="Calibri"/>
          <w:i/>
          <w:sz w:val="24"/>
          <w:szCs w:val="24"/>
        </w:rPr>
        <w:t xml:space="preserve"> Nguồn: </w:t>
      </w:r>
      <w:r w:rsidRPr="00301868">
        <w:rPr>
          <w:rFonts w:eastAsia="Calibri"/>
          <w:i/>
          <w:sz w:val="24"/>
          <w:szCs w:val="24"/>
        </w:rPr>
        <w:tab/>
      </w:r>
      <w:r w:rsidRPr="00301868">
        <w:rPr>
          <w:rFonts w:eastAsia="Calibri"/>
          <w:sz w:val="24"/>
          <w:szCs w:val="24"/>
        </w:rPr>
        <w:t>Báo cáo của Bảo hiểm xã hội Việt Nam</w:t>
      </w:r>
    </w:p>
    <w:p w14:paraId="64D4AF8C" w14:textId="70A648AB" w:rsidR="008C1F7A" w:rsidRPr="00301868" w:rsidRDefault="008C1F7A" w:rsidP="001875BF">
      <w:pPr>
        <w:pStyle w:val="Heading3"/>
        <w:rPr>
          <w:rFonts w:eastAsia="Calibri"/>
        </w:rPr>
      </w:pPr>
      <w:bookmarkStart w:id="40" w:name="_Toc63186709"/>
      <w:r w:rsidRPr="00301868">
        <w:rPr>
          <w:rFonts w:eastAsia="Calibri"/>
        </w:rPr>
        <w:t>5.2</w:t>
      </w:r>
      <w:r w:rsidR="001875BF" w:rsidRPr="00301868">
        <w:rPr>
          <w:rFonts w:eastAsia="Calibri"/>
        </w:rPr>
        <w:t>.</w:t>
      </w:r>
      <w:r w:rsidRPr="00301868">
        <w:rPr>
          <w:rFonts w:eastAsia="Calibri"/>
        </w:rPr>
        <w:t xml:space="preserve"> Công tác đánh giá tài chính Quỹ bảo hiểm xã hội</w:t>
      </w:r>
      <w:bookmarkEnd w:id="40"/>
    </w:p>
    <w:p w14:paraId="3E73002E" w14:textId="77777777" w:rsidR="008C1F7A" w:rsidRPr="00301868" w:rsidRDefault="008C1F7A" w:rsidP="001875BF">
      <w:pPr>
        <w:rPr>
          <w:rFonts w:eastAsia="Calibri"/>
        </w:rPr>
      </w:pPr>
      <w:r w:rsidRPr="00301868">
        <w:rPr>
          <w:rFonts w:eastAsia="Calibri"/>
        </w:rPr>
        <w:t xml:space="preserve">Đánh giá tài chính quỹ BHXH đóng một vai trò quan trọng khi có bất kỳ sự thay đổi nào về các chế độ, về mức đóng để đủ chi trả cho chế độ ban hành hoặc được sửa đổi. Đánh giá tài chính quỹ BHXH cần được thực hiện định kỳ 3 hoặc 5 năm một lần nhằm đảm bảo hệ thống được vận hành trên nền tảng tài chính vững chắc, đặc biệt khi có những thay đổi lớn về mặt chính sách, pháp luật. Mặc dù Luật BHXH 2014 đã quy định trách nhiệm của Bộ Tài chính, Hội đồng quản lý BHXH và BHXH Việt Nam trong quản lý và sử dụng các quỹ BHXH nhưng lại không đề cập đến trách nhiệm thực hiện đánh giá định kỳ tình trạng tài chính của quỹ BHXH. Trong tất cả những lần sửa đổi pháp luật BHXH trước đây và hiện nay, việc đánh giá tài chính quỹ BHXH hoàn toàn dựa vào sự hỗ trợ kỹ thuật của các tổ chức quốc tế lớn như ILO và WB. </w:t>
      </w:r>
    </w:p>
    <w:p w14:paraId="4F5CB26D" w14:textId="54BEFFD5" w:rsidR="008C1F7A" w:rsidRPr="00301868" w:rsidRDefault="008C1F7A" w:rsidP="001875BF">
      <w:pPr>
        <w:pStyle w:val="Heading3"/>
        <w:rPr>
          <w:rFonts w:eastAsia="Calibri"/>
        </w:rPr>
      </w:pPr>
      <w:bookmarkStart w:id="41" w:name="_Toc63186710"/>
      <w:r w:rsidRPr="00301868">
        <w:rPr>
          <w:rFonts w:eastAsia="Calibri"/>
        </w:rPr>
        <w:t>5.3</w:t>
      </w:r>
      <w:r w:rsidR="001875BF" w:rsidRPr="00301868">
        <w:rPr>
          <w:rFonts w:eastAsia="Calibri"/>
        </w:rPr>
        <w:t>.</w:t>
      </w:r>
      <w:r w:rsidRPr="00301868">
        <w:rPr>
          <w:rFonts w:eastAsia="Calibri"/>
        </w:rPr>
        <w:t xml:space="preserve"> Những hạn chế, vướng mắc trong công tác đầu tư và đánh giá tài chính Quỹ bảo hiểm xã hội</w:t>
      </w:r>
      <w:bookmarkEnd w:id="41"/>
    </w:p>
    <w:p w14:paraId="5A6FC67E" w14:textId="77777777" w:rsidR="008C1F7A" w:rsidRPr="00301868" w:rsidRDefault="008C1F7A" w:rsidP="001875BF">
      <w:pPr>
        <w:rPr>
          <w:rFonts w:eastAsia="Calibri"/>
        </w:rPr>
      </w:pPr>
      <w:r w:rsidRPr="00301868">
        <w:rPr>
          <w:rFonts w:eastAsia="Calibri"/>
        </w:rPr>
        <w:t>Sau 4 năm thực hiện Luật BHXH 2014, hoạt động đầu tư quỹ đã có nhiều chuyển biến tích cực. Tuy vậy, trong quá trình triển khai còn một số vướng mắc sau:</w:t>
      </w:r>
    </w:p>
    <w:p w14:paraId="0D1EAB44" w14:textId="77777777" w:rsidR="008C1F7A" w:rsidRPr="00301868" w:rsidRDefault="008C1F7A" w:rsidP="001875BF">
      <w:pPr>
        <w:rPr>
          <w:rFonts w:eastAsia="Calibri"/>
        </w:rPr>
      </w:pPr>
      <w:r w:rsidRPr="00301868">
        <w:rPr>
          <w:rFonts w:eastAsia="Calibri"/>
        </w:rPr>
        <w:t xml:space="preserve">- Ngân hàng Nhà nước chưa đưa ra được các tiêu chí để đánh giá tình trạng của ngân hàng “có chất lương hoạt động tốt theo xếp loại tín nhiệm của Ngân hàng Nhà nước Việt Nam” mà chỉ cung cấp danh sách các Ngân hàng thương mại hoạt động lành mạnh và an toàn, ổn định; </w:t>
      </w:r>
    </w:p>
    <w:p w14:paraId="5D50BBBD" w14:textId="7140F18E" w:rsidR="008C1F7A" w:rsidRPr="00301868" w:rsidRDefault="008C1F7A" w:rsidP="001875BF">
      <w:pPr>
        <w:rPr>
          <w:rFonts w:eastAsia="Calibri"/>
        </w:rPr>
      </w:pPr>
      <w:r w:rsidRPr="00301868">
        <w:rPr>
          <w:rFonts w:eastAsia="Calibri"/>
        </w:rPr>
        <w:lastRenderedPageBreak/>
        <w:t>- Trong giai đoạn 2016</w:t>
      </w:r>
      <w:r w:rsidR="00CB18DF" w:rsidRPr="00301868">
        <w:rPr>
          <w:rFonts w:eastAsia="Calibri"/>
        </w:rPr>
        <w:t>-</w:t>
      </w:r>
      <w:r w:rsidRPr="00301868">
        <w:rPr>
          <w:rFonts w:eastAsia="Calibri"/>
        </w:rPr>
        <w:t xml:space="preserve">2019, danh mục đầu tư quỹ BHXH không đa dạng, chủ yếu tập trung đầu tư mua trái phiếu Chính phủ và thực hiện gửi tiền, mua trái phiếu, chứng chỉ tiền gửi của các Ngân hàng thương mại theo danh sách mà Ngân hàng Nhà nước Việt Nam cung cấp và được Hội đồng quản lý BHXH thông qua. Với danh mục đầu tư như vậy, hoạt động đầu tư quỹ BHXH tuy được đánh giá an toàn nhưng hiệu quả đầu tư chưa cao; </w:t>
      </w:r>
    </w:p>
    <w:p w14:paraId="789054DC" w14:textId="77777777" w:rsidR="008C1F7A" w:rsidRPr="00301868" w:rsidRDefault="008C1F7A" w:rsidP="001875BF">
      <w:pPr>
        <w:rPr>
          <w:rFonts w:eastAsia="Calibri"/>
        </w:rPr>
      </w:pPr>
      <w:r w:rsidRPr="00301868">
        <w:rPr>
          <w:rFonts w:eastAsia="Calibri"/>
        </w:rPr>
        <w:t>- Điều 4, Nghị định số 30/2016/NĐ-CP của Chính phủ quy định quỹ BHXH đầu tư theo hình thức “Mua trái phiếu Chính phủ” nhưng lại không quy định rõ việc bán trái phiếu Chính phủ mà chỉ nêu “trường hợp cần thiết phải bán trái phiếu Chính phủ để thu hồi trước hạn, BHXH Việt Nam có văn bản nêu rõ lý do, trình Hội đồng quản lý xem xét, quyết định”. Quy định này gây khó khăn cho BHXH Việt Nam trong việc tham gia tích cực vào thị trường trái phiếu Chính phủ và thực hiện đầu tư trái phiếu Chính phủ linh hoạt, hiệu quả theo hướng chuyên nghiệp (bao gồm áp dụng các nghiệp vụ REPO, hoán đổi, mua/bán trái phiếu Chính phủ tại thị trường thứ cấp);</w:t>
      </w:r>
    </w:p>
    <w:p w14:paraId="2F4CBBFF" w14:textId="68F06F74" w:rsidR="008C1F7A" w:rsidRPr="00301868" w:rsidRDefault="008C1F7A" w:rsidP="001875BF">
      <w:pPr>
        <w:pStyle w:val="Heading3"/>
        <w:rPr>
          <w:rFonts w:eastAsia="Calibri"/>
        </w:rPr>
      </w:pPr>
      <w:bookmarkStart w:id="42" w:name="_Toc63186711"/>
      <w:r w:rsidRPr="00301868">
        <w:rPr>
          <w:rFonts w:eastAsia="Calibri"/>
        </w:rPr>
        <w:t>5.4</w:t>
      </w:r>
      <w:r w:rsidR="001875BF" w:rsidRPr="00301868">
        <w:rPr>
          <w:rFonts w:eastAsia="Calibri"/>
        </w:rPr>
        <w:t>.</w:t>
      </w:r>
      <w:r w:rsidRPr="00301868">
        <w:rPr>
          <w:rFonts w:eastAsia="Calibri"/>
        </w:rPr>
        <w:t xml:space="preserve"> Các giải pháp tăng cường hiệu quả công tác đầu tư và đánh giá tài chính Quỹ bảo hiểm xã hội</w:t>
      </w:r>
      <w:bookmarkEnd w:id="42"/>
    </w:p>
    <w:p w14:paraId="5D45F4EA" w14:textId="77777777" w:rsidR="008C1F7A" w:rsidRPr="00301868" w:rsidRDefault="008C1F7A" w:rsidP="001875BF">
      <w:pPr>
        <w:rPr>
          <w:rFonts w:eastAsia="Calibri"/>
        </w:rPr>
      </w:pPr>
      <w:r w:rsidRPr="00301868">
        <w:rPr>
          <w:rFonts w:eastAsia="Calibri"/>
        </w:rPr>
        <w:t>Những khía cạnh pháp lý sau đây cần được xem xét, bổ sung:</w:t>
      </w:r>
    </w:p>
    <w:p w14:paraId="0A55937A" w14:textId="77777777" w:rsidR="008C1F7A" w:rsidRPr="00301868" w:rsidRDefault="008C1F7A" w:rsidP="001875BF">
      <w:pPr>
        <w:rPr>
          <w:rFonts w:eastAsia="Calibri"/>
        </w:rPr>
      </w:pPr>
      <w:r w:rsidRPr="00301868">
        <w:rPr>
          <w:rFonts w:eastAsia="Calibri"/>
        </w:rPr>
        <w:t xml:space="preserve">- Quy định cơ chế và trách nhiệm rõ ràng của các bên liên quan trong đánh giá tài chính định kỳ quỹ BHXH; </w:t>
      </w:r>
    </w:p>
    <w:p w14:paraId="042FB743" w14:textId="77777777" w:rsidR="008C1F7A" w:rsidRPr="00301868" w:rsidRDefault="008C1F7A" w:rsidP="001875BF">
      <w:pPr>
        <w:rPr>
          <w:rFonts w:eastAsia="Calibri"/>
        </w:rPr>
      </w:pPr>
      <w:r w:rsidRPr="00301868">
        <w:rPr>
          <w:rFonts w:eastAsia="Calibri"/>
        </w:rPr>
        <w:t xml:space="preserve">- Rà soát, sửa đổi, bổ sung danh mục đầu tư quỹ BHXH và quy trình thực hiện đầu tư.  </w:t>
      </w:r>
    </w:p>
    <w:p w14:paraId="35963E96" w14:textId="77777777" w:rsidR="008C1F7A" w:rsidRPr="00301868" w:rsidRDefault="008C1F7A" w:rsidP="008C1F7A">
      <w:pPr>
        <w:spacing w:after="0" w:line="240" w:lineRule="auto"/>
        <w:rPr>
          <w:rFonts w:eastAsia="Calibri"/>
        </w:rPr>
      </w:pPr>
    </w:p>
    <w:p w14:paraId="5FEBD1A3" w14:textId="77777777" w:rsidR="008C1F7A" w:rsidRPr="00301868" w:rsidRDefault="008C1F7A" w:rsidP="001875BF">
      <w:pPr>
        <w:pStyle w:val="Heading2"/>
        <w:rPr>
          <w:rFonts w:eastAsia="Calibri"/>
        </w:rPr>
      </w:pPr>
      <w:bookmarkStart w:id="43" w:name="_Toc63186712"/>
      <w:r w:rsidRPr="00301868">
        <w:rPr>
          <w:rFonts w:eastAsia="Calibri"/>
        </w:rPr>
        <w:t>VI. GIẢI QUYẾT KHIẾU NẠI VÀ TỐ CÁO VỀ BHXH GIAI ĐOẠN 2016-2019</w:t>
      </w:r>
      <w:bookmarkEnd w:id="43"/>
    </w:p>
    <w:p w14:paraId="69D58FD0" w14:textId="7AEFFACA" w:rsidR="008C1F7A" w:rsidRPr="00301868" w:rsidRDefault="008C1F7A" w:rsidP="001875BF">
      <w:pPr>
        <w:pStyle w:val="Heading3"/>
        <w:rPr>
          <w:rFonts w:eastAsia="Calibri"/>
        </w:rPr>
      </w:pPr>
      <w:bookmarkStart w:id="44" w:name="_Toc63186713"/>
      <w:r w:rsidRPr="00301868">
        <w:rPr>
          <w:rFonts w:eastAsia="Calibri"/>
        </w:rPr>
        <w:t>6.1</w:t>
      </w:r>
      <w:r w:rsidR="001875BF" w:rsidRPr="00301868">
        <w:rPr>
          <w:rFonts w:eastAsia="Calibri"/>
        </w:rPr>
        <w:t>.</w:t>
      </w:r>
      <w:r w:rsidRPr="00301868">
        <w:rPr>
          <w:rFonts w:eastAsia="Calibri"/>
        </w:rPr>
        <w:t xml:space="preserve"> Tình hình giải quyết khiếu nại, tố cáo và xử lý vi phạm pháp luật về BHXH</w:t>
      </w:r>
      <w:bookmarkEnd w:id="44"/>
      <w:r w:rsidRPr="00301868">
        <w:rPr>
          <w:rFonts w:eastAsia="Calibri"/>
        </w:rPr>
        <w:t xml:space="preserve"> </w:t>
      </w:r>
    </w:p>
    <w:p w14:paraId="79C19A70" w14:textId="77777777" w:rsidR="008C1F7A" w:rsidRPr="00301868" w:rsidRDefault="008C1F7A" w:rsidP="001875BF">
      <w:pPr>
        <w:rPr>
          <w:rFonts w:eastAsia="Calibri"/>
        </w:rPr>
      </w:pPr>
      <w:r w:rsidRPr="00301868">
        <w:rPr>
          <w:rFonts w:eastAsia="Calibri"/>
        </w:rPr>
        <w:t xml:space="preserve">Công tác giải quyết khiếu nại, tố cáo về BHXH nhìn chung được thực hiện theo đúng quy định của pháp luật về khiếu nại, tố cáo và hướng dẫn của các cơ quan có thẩm quyền. Công tác giải quyết khiếu nại, tố cáo về BHXH thời gian qua đã hạn chế được tình trạng tồn đọng, vượt cấp. </w:t>
      </w:r>
    </w:p>
    <w:p w14:paraId="4BAFCDD1" w14:textId="3610E960" w:rsidR="008C1F7A" w:rsidRPr="00301868" w:rsidRDefault="008C1F7A" w:rsidP="001875BF">
      <w:pPr>
        <w:rPr>
          <w:rFonts w:eastAsia="Calibri"/>
          <w:lang w:val="pt-BR"/>
        </w:rPr>
      </w:pPr>
      <w:r w:rsidRPr="00301868">
        <w:rPr>
          <w:rFonts w:eastAsia="Calibri"/>
        </w:rPr>
        <w:t xml:space="preserve">Hình thức khiếu nại, tố cáo về BHXH chủ yếu là đơn thư đề nghị, kiến nghị, hỏi về chính sách BHXH. Những khiếu nại, tố cáo nghiêm trọng thường xảy ra khi người lao động không được hưởng chế độ bảo hiểm xã hội do không được đóng bảo hiểm xã hội vì nợ đọng, bỏ trốn của người sử dụng lao động. </w:t>
      </w:r>
      <w:r w:rsidRPr="00301868">
        <w:rPr>
          <w:rFonts w:eastAsia="Calibri"/>
          <w:lang w:val="pt-BR"/>
        </w:rPr>
        <w:t>Tình hình xử lý vi phạm pháp luật BHXH giai đoạn 20016</w:t>
      </w:r>
      <w:r w:rsidR="00CB18DF" w:rsidRPr="00301868">
        <w:rPr>
          <w:rFonts w:eastAsia="Calibri"/>
          <w:lang w:val="pt-BR"/>
        </w:rPr>
        <w:t>-</w:t>
      </w:r>
      <w:r w:rsidRPr="00301868">
        <w:rPr>
          <w:rFonts w:eastAsia="Calibri"/>
          <w:lang w:val="pt-BR"/>
        </w:rPr>
        <w:t>2019 được thể hiện trong Biểu 14.</w:t>
      </w:r>
    </w:p>
    <w:p w14:paraId="345A54F8" w14:textId="43892EF0" w:rsidR="008C1F7A" w:rsidRPr="00301868" w:rsidRDefault="008C1F7A" w:rsidP="008C1F7A">
      <w:pPr>
        <w:spacing w:before="40" w:after="0" w:line="240" w:lineRule="auto"/>
        <w:ind w:firstLine="0"/>
        <w:jc w:val="center"/>
        <w:rPr>
          <w:rFonts w:eastAsia="Calibri"/>
          <w:b/>
          <w:lang w:val="pt-BR"/>
        </w:rPr>
      </w:pPr>
      <w:r w:rsidRPr="00301868">
        <w:rPr>
          <w:rFonts w:eastAsia="Calibri"/>
          <w:b/>
          <w:lang w:val="pt-BR"/>
        </w:rPr>
        <w:t>Biểu 14: Tình hình xử lý vi phạm pháp luật BHXH giai đoạn 20016</w:t>
      </w:r>
      <w:r w:rsidR="00CB18DF" w:rsidRPr="00301868">
        <w:rPr>
          <w:rFonts w:eastAsia="Calibri"/>
          <w:b/>
          <w:lang w:val="pt-BR"/>
        </w:rPr>
        <w:t>-</w:t>
      </w:r>
      <w:r w:rsidRPr="00301868">
        <w:rPr>
          <w:rFonts w:eastAsia="Calibri"/>
          <w:b/>
          <w:lang w:val="pt-BR"/>
        </w:rPr>
        <w:t>2019</w:t>
      </w:r>
    </w:p>
    <w:p w14:paraId="087A7F52" w14:textId="77777777" w:rsidR="008C1F7A" w:rsidRPr="00301868" w:rsidRDefault="008C1F7A" w:rsidP="008C1F7A">
      <w:pPr>
        <w:spacing w:after="0" w:line="240" w:lineRule="auto"/>
        <w:ind w:firstLine="0"/>
        <w:jc w:val="center"/>
        <w:rPr>
          <w:rFonts w:eastAsia="Calibri"/>
          <w:b/>
          <w:lang w:val="pt-BR"/>
        </w:rPr>
      </w:pPr>
    </w:p>
    <w:p w14:paraId="5E731C5E" w14:textId="77777777" w:rsidR="008C1F7A" w:rsidRPr="00301868" w:rsidRDefault="008C1F7A" w:rsidP="008C1F7A">
      <w:pPr>
        <w:tabs>
          <w:tab w:val="center" w:pos="7286"/>
          <w:tab w:val="right" w:pos="14572"/>
        </w:tabs>
        <w:spacing w:after="0" w:line="240" w:lineRule="auto"/>
        <w:ind w:firstLine="0"/>
        <w:jc w:val="right"/>
        <w:rPr>
          <w:rFonts w:eastAsia="Calibri"/>
          <w:i/>
          <w:sz w:val="24"/>
          <w:szCs w:val="24"/>
          <w:lang w:val="pt-BR"/>
        </w:rPr>
      </w:pPr>
      <w:r w:rsidRPr="00301868">
        <w:rPr>
          <w:rFonts w:eastAsia="Calibri"/>
          <w:i/>
          <w:sz w:val="24"/>
          <w:szCs w:val="24"/>
          <w:lang w:val="pt-BR"/>
        </w:rPr>
        <w:lastRenderedPageBreak/>
        <w:t>Đơn vị tính: văn vản, triệu đồng</w:t>
      </w:r>
    </w:p>
    <w:tbl>
      <w:tblPr>
        <w:tblStyle w:val="TableGrid1"/>
        <w:tblW w:w="9360" w:type="dxa"/>
        <w:tblInd w:w="108" w:type="dxa"/>
        <w:tblLook w:val="04A0" w:firstRow="1" w:lastRow="0" w:firstColumn="1" w:lastColumn="0" w:noHBand="0" w:noVBand="1"/>
      </w:tblPr>
      <w:tblGrid>
        <w:gridCol w:w="3420"/>
        <w:gridCol w:w="990"/>
        <w:gridCol w:w="990"/>
        <w:gridCol w:w="990"/>
        <w:gridCol w:w="990"/>
        <w:gridCol w:w="1980"/>
      </w:tblGrid>
      <w:tr w:rsidR="008C1F7A" w:rsidRPr="00301868" w14:paraId="630FEE35" w14:textId="77777777" w:rsidTr="00CB18DF">
        <w:tc>
          <w:tcPr>
            <w:tcW w:w="3420" w:type="dxa"/>
          </w:tcPr>
          <w:p w14:paraId="0114291B" w14:textId="77777777" w:rsidR="008C1F7A" w:rsidRPr="00301868" w:rsidRDefault="008C1F7A" w:rsidP="008C1F7A">
            <w:pPr>
              <w:tabs>
                <w:tab w:val="center" w:pos="7286"/>
                <w:tab w:val="right" w:pos="14572"/>
              </w:tabs>
              <w:spacing w:before="40" w:after="40" w:line="240" w:lineRule="auto"/>
              <w:ind w:firstLine="0"/>
              <w:jc w:val="center"/>
              <w:rPr>
                <w:rFonts w:ascii="Times New Roman" w:hAnsi="Times New Roman"/>
                <w:sz w:val="26"/>
                <w:szCs w:val="26"/>
                <w:lang w:val="pt-BR"/>
              </w:rPr>
            </w:pPr>
          </w:p>
        </w:tc>
        <w:tc>
          <w:tcPr>
            <w:tcW w:w="990" w:type="dxa"/>
          </w:tcPr>
          <w:p w14:paraId="7D7993F2" w14:textId="77777777" w:rsidR="008C1F7A" w:rsidRPr="00301868" w:rsidRDefault="008C1F7A" w:rsidP="008C1F7A">
            <w:pPr>
              <w:tabs>
                <w:tab w:val="center" w:pos="7286"/>
                <w:tab w:val="right" w:pos="14572"/>
              </w:tabs>
              <w:spacing w:before="120" w:line="240" w:lineRule="auto"/>
              <w:ind w:firstLine="0"/>
              <w:jc w:val="center"/>
              <w:rPr>
                <w:rFonts w:ascii="Times New Roman" w:hAnsi="Times New Roman"/>
                <w:b/>
                <w:sz w:val="26"/>
                <w:szCs w:val="26"/>
                <w:lang w:val="pt-BR"/>
              </w:rPr>
            </w:pPr>
            <w:r w:rsidRPr="00301868">
              <w:rPr>
                <w:rFonts w:ascii="Times New Roman" w:hAnsi="Times New Roman"/>
                <w:b/>
                <w:sz w:val="26"/>
                <w:szCs w:val="26"/>
                <w:lang w:val="pt-BR"/>
              </w:rPr>
              <w:t>2016</w:t>
            </w:r>
          </w:p>
        </w:tc>
        <w:tc>
          <w:tcPr>
            <w:tcW w:w="990" w:type="dxa"/>
          </w:tcPr>
          <w:p w14:paraId="3C2DB263" w14:textId="77777777" w:rsidR="008C1F7A" w:rsidRPr="00301868" w:rsidRDefault="008C1F7A" w:rsidP="008C1F7A">
            <w:pPr>
              <w:tabs>
                <w:tab w:val="center" w:pos="7286"/>
                <w:tab w:val="right" w:pos="14572"/>
              </w:tabs>
              <w:spacing w:before="120" w:line="240" w:lineRule="auto"/>
              <w:ind w:firstLine="0"/>
              <w:jc w:val="center"/>
              <w:rPr>
                <w:rFonts w:ascii="Times New Roman" w:hAnsi="Times New Roman"/>
                <w:b/>
                <w:sz w:val="26"/>
                <w:szCs w:val="26"/>
                <w:lang w:val="pt-BR"/>
              </w:rPr>
            </w:pPr>
            <w:r w:rsidRPr="00301868">
              <w:rPr>
                <w:rFonts w:ascii="Times New Roman" w:hAnsi="Times New Roman"/>
                <w:b/>
                <w:sz w:val="26"/>
                <w:szCs w:val="26"/>
                <w:lang w:val="pt-BR"/>
              </w:rPr>
              <w:t>2017</w:t>
            </w:r>
          </w:p>
        </w:tc>
        <w:tc>
          <w:tcPr>
            <w:tcW w:w="990" w:type="dxa"/>
          </w:tcPr>
          <w:p w14:paraId="40214E91" w14:textId="77777777" w:rsidR="008C1F7A" w:rsidRPr="00301868" w:rsidRDefault="008C1F7A" w:rsidP="008C1F7A">
            <w:pPr>
              <w:tabs>
                <w:tab w:val="center" w:pos="7286"/>
                <w:tab w:val="right" w:pos="14572"/>
              </w:tabs>
              <w:spacing w:before="120" w:line="240" w:lineRule="auto"/>
              <w:ind w:firstLine="0"/>
              <w:jc w:val="center"/>
              <w:rPr>
                <w:rFonts w:ascii="Times New Roman" w:hAnsi="Times New Roman"/>
                <w:b/>
                <w:sz w:val="26"/>
                <w:szCs w:val="26"/>
                <w:lang w:val="pt-BR"/>
              </w:rPr>
            </w:pPr>
            <w:r w:rsidRPr="00301868">
              <w:rPr>
                <w:rFonts w:ascii="Times New Roman" w:hAnsi="Times New Roman"/>
                <w:b/>
                <w:sz w:val="26"/>
                <w:szCs w:val="26"/>
                <w:lang w:val="pt-BR"/>
              </w:rPr>
              <w:t>2018</w:t>
            </w:r>
          </w:p>
        </w:tc>
        <w:tc>
          <w:tcPr>
            <w:tcW w:w="990" w:type="dxa"/>
          </w:tcPr>
          <w:p w14:paraId="58CFD8E8" w14:textId="77777777" w:rsidR="008C1F7A" w:rsidRPr="00301868" w:rsidRDefault="008C1F7A" w:rsidP="008C1F7A">
            <w:pPr>
              <w:tabs>
                <w:tab w:val="center" w:pos="7286"/>
                <w:tab w:val="right" w:pos="14572"/>
              </w:tabs>
              <w:spacing w:before="120" w:line="240" w:lineRule="auto"/>
              <w:ind w:firstLine="0"/>
              <w:jc w:val="center"/>
              <w:rPr>
                <w:rFonts w:ascii="Times New Roman" w:hAnsi="Times New Roman"/>
                <w:b/>
                <w:sz w:val="26"/>
                <w:szCs w:val="26"/>
                <w:lang w:val="pt-BR"/>
              </w:rPr>
            </w:pPr>
            <w:r w:rsidRPr="00301868">
              <w:rPr>
                <w:rFonts w:ascii="Times New Roman" w:hAnsi="Times New Roman"/>
                <w:b/>
                <w:sz w:val="26"/>
                <w:szCs w:val="26"/>
                <w:lang w:val="pt-BR"/>
              </w:rPr>
              <w:t>2019</w:t>
            </w:r>
          </w:p>
        </w:tc>
        <w:tc>
          <w:tcPr>
            <w:tcW w:w="1980" w:type="dxa"/>
          </w:tcPr>
          <w:p w14:paraId="38C11A04" w14:textId="77777777" w:rsidR="008C1F7A" w:rsidRPr="00301868" w:rsidRDefault="008C1F7A" w:rsidP="008C1F7A">
            <w:pPr>
              <w:tabs>
                <w:tab w:val="center" w:pos="7286"/>
                <w:tab w:val="right" w:pos="14572"/>
              </w:tabs>
              <w:spacing w:before="120" w:line="240" w:lineRule="auto"/>
              <w:ind w:firstLine="0"/>
              <w:jc w:val="center"/>
              <w:rPr>
                <w:rFonts w:ascii="Times New Roman" w:hAnsi="Times New Roman"/>
                <w:b/>
                <w:sz w:val="26"/>
                <w:szCs w:val="26"/>
                <w:lang w:val="pt-BR"/>
              </w:rPr>
            </w:pPr>
            <w:r w:rsidRPr="00301868">
              <w:rPr>
                <w:rFonts w:ascii="Times New Roman" w:hAnsi="Times New Roman"/>
                <w:b/>
                <w:sz w:val="26"/>
                <w:szCs w:val="26"/>
                <w:lang w:val="pt-BR"/>
              </w:rPr>
              <w:t>Tổng cộng</w:t>
            </w:r>
          </w:p>
        </w:tc>
      </w:tr>
      <w:tr w:rsidR="008C1F7A" w:rsidRPr="00301868" w14:paraId="1A151396" w14:textId="77777777" w:rsidTr="00CB18DF">
        <w:tc>
          <w:tcPr>
            <w:tcW w:w="3420" w:type="dxa"/>
          </w:tcPr>
          <w:p w14:paraId="75325086" w14:textId="77777777" w:rsidR="008C1F7A" w:rsidRPr="00301868" w:rsidRDefault="008C1F7A" w:rsidP="008C1F7A">
            <w:pPr>
              <w:tabs>
                <w:tab w:val="center" w:pos="7286"/>
                <w:tab w:val="right" w:pos="14572"/>
              </w:tabs>
              <w:spacing w:before="80" w:after="80" w:line="240" w:lineRule="auto"/>
              <w:ind w:firstLine="0"/>
              <w:jc w:val="left"/>
              <w:rPr>
                <w:rFonts w:ascii="Times New Roman" w:hAnsi="Times New Roman"/>
                <w:sz w:val="26"/>
                <w:szCs w:val="26"/>
                <w:lang w:val="pt-BR"/>
              </w:rPr>
            </w:pPr>
            <w:r w:rsidRPr="00301868">
              <w:rPr>
                <w:rFonts w:ascii="Times New Roman" w:hAnsi="Times New Roman"/>
                <w:sz w:val="26"/>
                <w:szCs w:val="26"/>
                <w:lang w:val="pt-BR"/>
              </w:rPr>
              <w:t>1. Số quyết định xử phạt vi phạm hành chính về BHXH đã ban hành</w:t>
            </w:r>
          </w:p>
        </w:tc>
        <w:tc>
          <w:tcPr>
            <w:tcW w:w="990" w:type="dxa"/>
          </w:tcPr>
          <w:p w14:paraId="26482CC0" w14:textId="77777777" w:rsidR="008C1F7A" w:rsidRPr="00301868" w:rsidRDefault="008C1F7A" w:rsidP="008C1F7A">
            <w:pPr>
              <w:tabs>
                <w:tab w:val="center" w:pos="7286"/>
                <w:tab w:val="right" w:pos="14572"/>
              </w:tabs>
              <w:spacing w:before="40" w:after="40" w:line="240" w:lineRule="auto"/>
              <w:ind w:firstLine="0"/>
              <w:jc w:val="right"/>
              <w:rPr>
                <w:rFonts w:ascii="Times New Roman" w:hAnsi="Times New Roman"/>
                <w:sz w:val="26"/>
                <w:szCs w:val="26"/>
                <w:lang w:val="pt-BR"/>
              </w:rPr>
            </w:pPr>
          </w:p>
          <w:p w14:paraId="39E99632" w14:textId="77777777" w:rsidR="008C1F7A" w:rsidRPr="00301868" w:rsidRDefault="008C1F7A" w:rsidP="008C1F7A">
            <w:pPr>
              <w:tabs>
                <w:tab w:val="center" w:pos="7286"/>
                <w:tab w:val="right" w:pos="14572"/>
              </w:tabs>
              <w:spacing w:before="40" w:after="40" w:line="240" w:lineRule="auto"/>
              <w:ind w:firstLine="0"/>
              <w:jc w:val="right"/>
              <w:rPr>
                <w:rFonts w:ascii="Times New Roman" w:hAnsi="Times New Roman"/>
                <w:sz w:val="26"/>
                <w:szCs w:val="26"/>
                <w:lang w:val="pt-BR"/>
              </w:rPr>
            </w:pPr>
            <w:r w:rsidRPr="00301868">
              <w:rPr>
                <w:rFonts w:ascii="Times New Roman" w:hAnsi="Times New Roman"/>
                <w:sz w:val="26"/>
                <w:szCs w:val="26"/>
                <w:lang w:val="pt-BR"/>
              </w:rPr>
              <w:t>104</w:t>
            </w:r>
          </w:p>
        </w:tc>
        <w:tc>
          <w:tcPr>
            <w:tcW w:w="990" w:type="dxa"/>
          </w:tcPr>
          <w:p w14:paraId="5133CAD7" w14:textId="77777777" w:rsidR="008C1F7A" w:rsidRPr="00301868" w:rsidRDefault="008C1F7A" w:rsidP="008C1F7A">
            <w:pPr>
              <w:tabs>
                <w:tab w:val="center" w:pos="7286"/>
                <w:tab w:val="right" w:pos="14572"/>
              </w:tabs>
              <w:spacing w:before="40" w:after="40" w:line="240" w:lineRule="auto"/>
              <w:ind w:firstLine="0"/>
              <w:jc w:val="right"/>
              <w:rPr>
                <w:rFonts w:ascii="Times New Roman" w:hAnsi="Times New Roman"/>
                <w:sz w:val="26"/>
                <w:szCs w:val="26"/>
                <w:lang w:val="pt-BR"/>
              </w:rPr>
            </w:pPr>
          </w:p>
          <w:p w14:paraId="4AF9694E" w14:textId="77777777" w:rsidR="008C1F7A" w:rsidRPr="00301868" w:rsidRDefault="008C1F7A" w:rsidP="008C1F7A">
            <w:pPr>
              <w:tabs>
                <w:tab w:val="center" w:pos="7286"/>
                <w:tab w:val="right" w:pos="14572"/>
              </w:tabs>
              <w:spacing w:before="40" w:after="40" w:line="240" w:lineRule="auto"/>
              <w:ind w:firstLine="0"/>
              <w:jc w:val="right"/>
              <w:rPr>
                <w:rFonts w:ascii="Times New Roman" w:hAnsi="Times New Roman"/>
                <w:sz w:val="26"/>
                <w:szCs w:val="26"/>
                <w:lang w:val="pt-BR"/>
              </w:rPr>
            </w:pPr>
            <w:r w:rsidRPr="00301868">
              <w:rPr>
                <w:rFonts w:ascii="Times New Roman" w:hAnsi="Times New Roman"/>
                <w:sz w:val="26"/>
                <w:szCs w:val="26"/>
                <w:lang w:val="pt-BR"/>
              </w:rPr>
              <w:t>239</w:t>
            </w:r>
          </w:p>
        </w:tc>
        <w:tc>
          <w:tcPr>
            <w:tcW w:w="990" w:type="dxa"/>
          </w:tcPr>
          <w:p w14:paraId="5D49AEF3" w14:textId="77777777" w:rsidR="008C1F7A" w:rsidRPr="00301868" w:rsidRDefault="008C1F7A" w:rsidP="008C1F7A">
            <w:pPr>
              <w:tabs>
                <w:tab w:val="center" w:pos="7286"/>
                <w:tab w:val="right" w:pos="14572"/>
              </w:tabs>
              <w:spacing w:before="40" w:after="40" w:line="240" w:lineRule="auto"/>
              <w:ind w:firstLine="0"/>
              <w:jc w:val="right"/>
              <w:rPr>
                <w:rFonts w:ascii="Times New Roman" w:hAnsi="Times New Roman"/>
                <w:sz w:val="26"/>
                <w:szCs w:val="26"/>
                <w:lang w:val="pt-BR"/>
              </w:rPr>
            </w:pPr>
          </w:p>
          <w:p w14:paraId="6EC98368" w14:textId="77777777" w:rsidR="008C1F7A" w:rsidRPr="00301868" w:rsidRDefault="008C1F7A" w:rsidP="008C1F7A">
            <w:pPr>
              <w:tabs>
                <w:tab w:val="center" w:pos="7286"/>
                <w:tab w:val="right" w:pos="14572"/>
              </w:tabs>
              <w:spacing w:before="40" w:after="40" w:line="240" w:lineRule="auto"/>
              <w:ind w:firstLine="0"/>
              <w:jc w:val="right"/>
              <w:rPr>
                <w:rFonts w:ascii="Times New Roman" w:hAnsi="Times New Roman"/>
                <w:sz w:val="26"/>
                <w:szCs w:val="26"/>
                <w:lang w:val="pt-BR"/>
              </w:rPr>
            </w:pPr>
            <w:r w:rsidRPr="00301868">
              <w:rPr>
                <w:rFonts w:ascii="Times New Roman" w:hAnsi="Times New Roman"/>
                <w:sz w:val="26"/>
                <w:szCs w:val="26"/>
                <w:lang w:val="pt-BR"/>
              </w:rPr>
              <w:t>1.051</w:t>
            </w:r>
          </w:p>
        </w:tc>
        <w:tc>
          <w:tcPr>
            <w:tcW w:w="990" w:type="dxa"/>
          </w:tcPr>
          <w:p w14:paraId="43C31289" w14:textId="77777777" w:rsidR="008C1F7A" w:rsidRPr="00301868" w:rsidRDefault="008C1F7A" w:rsidP="008C1F7A">
            <w:pPr>
              <w:tabs>
                <w:tab w:val="center" w:pos="7286"/>
                <w:tab w:val="right" w:pos="14572"/>
              </w:tabs>
              <w:spacing w:before="40" w:after="40" w:line="240" w:lineRule="auto"/>
              <w:ind w:firstLine="0"/>
              <w:jc w:val="right"/>
              <w:rPr>
                <w:rFonts w:ascii="Times New Roman" w:hAnsi="Times New Roman"/>
                <w:sz w:val="26"/>
                <w:szCs w:val="26"/>
                <w:lang w:val="pt-BR"/>
              </w:rPr>
            </w:pPr>
          </w:p>
          <w:p w14:paraId="2DAADF06" w14:textId="77777777" w:rsidR="008C1F7A" w:rsidRPr="00301868" w:rsidRDefault="008C1F7A" w:rsidP="008C1F7A">
            <w:pPr>
              <w:tabs>
                <w:tab w:val="center" w:pos="7286"/>
                <w:tab w:val="right" w:pos="14572"/>
              </w:tabs>
              <w:spacing w:before="40" w:after="40" w:line="240" w:lineRule="auto"/>
              <w:ind w:firstLine="0"/>
              <w:jc w:val="right"/>
              <w:rPr>
                <w:rFonts w:ascii="Times New Roman" w:hAnsi="Times New Roman"/>
                <w:sz w:val="26"/>
                <w:szCs w:val="26"/>
                <w:lang w:val="pt-BR"/>
              </w:rPr>
            </w:pPr>
            <w:r w:rsidRPr="00301868">
              <w:rPr>
                <w:rFonts w:ascii="Times New Roman" w:hAnsi="Times New Roman"/>
                <w:sz w:val="26"/>
                <w:szCs w:val="26"/>
                <w:lang w:val="pt-BR"/>
              </w:rPr>
              <w:t>892</w:t>
            </w:r>
          </w:p>
        </w:tc>
        <w:tc>
          <w:tcPr>
            <w:tcW w:w="1980" w:type="dxa"/>
          </w:tcPr>
          <w:p w14:paraId="0F3AA713" w14:textId="77777777" w:rsidR="008C1F7A" w:rsidRPr="00301868" w:rsidRDefault="008C1F7A" w:rsidP="008C1F7A">
            <w:pPr>
              <w:tabs>
                <w:tab w:val="center" w:pos="7286"/>
                <w:tab w:val="right" w:pos="14572"/>
              </w:tabs>
              <w:spacing w:before="40" w:after="40" w:line="240" w:lineRule="auto"/>
              <w:ind w:firstLine="0"/>
              <w:jc w:val="right"/>
              <w:rPr>
                <w:rFonts w:ascii="Times New Roman" w:hAnsi="Times New Roman"/>
                <w:sz w:val="26"/>
                <w:szCs w:val="26"/>
                <w:lang w:val="pt-BR"/>
              </w:rPr>
            </w:pPr>
          </w:p>
          <w:p w14:paraId="582838BA" w14:textId="77777777" w:rsidR="008C1F7A" w:rsidRPr="00301868" w:rsidRDefault="008C1F7A" w:rsidP="008C1F7A">
            <w:pPr>
              <w:tabs>
                <w:tab w:val="center" w:pos="7286"/>
                <w:tab w:val="right" w:pos="14572"/>
              </w:tabs>
              <w:spacing w:before="40" w:after="40" w:line="240" w:lineRule="auto"/>
              <w:ind w:firstLine="0"/>
              <w:jc w:val="right"/>
              <w:rPr>
                <w:rFonts w:ascii="Times New Roman" w:hAnsi="Times New Roman"/>
                <w:sz w:val="26"/>
                <w:szCs w:val="26"/>
                <w:lang w:val="pt-BR"/>
              </w:rPr>
            </w:pPr>
            <w:r w:rsidRPr="00301868">
              <w:rPr>
                <w:rFonts w:ascii="Times New Roman" w:hAnsi="Times New Roman"/>
                <w:sz w:val="26"/>
                <w:szCs w:val="26"/>
                <w:lang w:val="pt-BR"/>
              </w:rPr>
              <w:t>2.286</w:t>
            </w:r>
          </w:p>
        </w:tc>
      </w:tr>
      <w:tr w:rsidR="008C1F7A" w:rsidRPr="00301868" w14:paraId="045098CB" w14:textId="77777777" w:rsidTr="00CB18DF">
        <w:tc>
          <w:tcPr>
            <w:tcW w:w="3420" w:type="dxa"/>
          </w:tcPr>
          <w:p w14:paraId="359D1711" w14:textId="77777777" w:rsidR="008C1F7A" w:rsidRPr="00301868" w:rsidRDefault="008C1F7A" w:rsidP="008C1F7A">
            <w:pPr>
              <w:tabs>
                <w:tab w:val="center" w:pos="7286"/>
                <w:tab w:val="right" w:pos="14572"/>
              </w:tabs>
              <w:spacing w:before="80" w:after="80" w:line="240" w:lineRule="auto"/>
              <w:ind w:firstLine="0"/>
              <w:jc w:val="left"/>
              <w:rPr>
                <w:rFonts w:ascii="Times New Roman" w:hAnsi="Times New Roman"/>
                <w:sz w:val="26"/>
                <w:szCs w:val="26"/>
                <w:lang w:val="pt-BR"/>
              </w:rPr>
            </w:pPr>
            <w:r w:rsidRPr="00301868">
              <w:rPr>
                <w:rFonts w:ascii="Times New Roman" w:hAnsi="Times New Roman"/>
                <w:sz w:val="26"/>
                <w:szCs w:val="26"/>
                <w:lang w:val="pt-BR"/>
              </w:rPr>
              <w:t xml:space="preserve">2. Số tiền xử phạt vi phạm hành chính phải thu, </w:t>
            </w:r>
            <w:r w:rsidRPr="00301868">
              <w:rPr>
                <w:rFonts w:ascii="Times New Roman" w:hAnsi="Times New Roman"/>
                <w:i/>
                <w:sz w:val="26"/>
                <w:szCs w:val="26"/>
                <w:lang w:val="pt-BR"/>
              </w:rPr>
              <w:t>trong đó:</w:t>
            </w:r>
          </w:p>
        </w:tc>
        <w:tc>
          <w:tcPr>
            <w:tcW w:w="990" w:type="dxa"/>
          </w:tcPr>
          <w:p w14:paraId="668ABC24" w14:textId="77777777" w:rsidR="008C1F7A" w:rsidRPr="00301868" w:rsidRDefault="008C1F7A" w:rsidP="008C1F7A">
            <w:pPr>
              <w:tabs>
                <w:tab w:val="center" w:pos="7286"/>
                <w:tab w:val="right" w:pos="14572"/>
              </w:tabs>
              <w:spacing w:before="180" w:after="0" w:line="240" w:lineRule="auto"/>
              <w:ind w:firstLine="0"/>
              <w:jc w:val="right"/>
              <w:rPr>
                <w:rFonts w:ascii="Times New Roman" w:hAnsi="Times New Roman"/>
                <w:sz w:val="26"/>
                <w:szCs w:val="26"/>
                <w:lang w:val="pt-BR"/>
              </w:rPr>
            </w:pPr>
            <w:r w:rsidRPr="00301868">
              <w:rPr>
                <w:rFonts w:ascii="Times New Roman" w:hAnsi="Times New Roman"/>
                <w:sz w:val="26"/>
                <w:szCs w:val="26"/>
                <w:lang w:val="pt-BR"/>
              </w:rPr>
              <w:t>2.174</w:t>
            </w:r>
          </w:p>
        </w:tc>
        <w:tc>
          <w:tcPr>
            <w:tcW w:w="990" w:type="dxa"/>
          </w:tcPr>
          <w:p w14:paraId="7360B087" w14:textId="77777777" w:rsidR="008C1F7A" w:rsidRPr="00301868" w:rsidRDefault="008C1F7A" w:rsidP="008C1F7A">
            <w:pPr>
              <w:tabs>
                <w:tab w:val="center" w:pos="7286"/>
                <w:tab w:val="right" w:pos="14572"/>
              </w:tabs>
              <w:spacing w:before="180" w:after="0" w:line="240" w:lineRule="auto"/>
              <w:ind w:firstLine="0"/>
              <w:jc w:val="right"/>
              <w:rPr>
                <w:rFonts w:ascii="Times New Roman" w:hAnsi="Times New Roman"/>
                <w:sz w:val="26"/>
                <w:szCs w:val="26"/>
                <w:lang w:val="pt-BR"/>
              </w:rPr>
            </w:pPr>
            <w:r w:rsidRPr="00301868">
              <w:rPr>
                <w:rFonts w:ascii="Times New Roman" w:hAnsi="Times New Roman"/>
                <w:sz w:val="26"/>
                <w:szCs w:val="26"/>
                <w:lang w:val="pt-BR"/>
              </w:rPr>
              <w:t>7.899</w:t>
            </w:r>
          </w:p>
        </w:tc>
        <w:tc>
          <w:tcPr>
            <w:tcW w:w="990" w:type="dxa"/>
          </w:tcPr>
          <w:p w14:paraId="5F612A1F" w14:textId="77777777" w:rsidR="008C1F7A" w:rsidRPr="00301868" w:rsidRDefault="008C1F7A" w:rsidP="008C1F7A">
            <w:pPr>
              <w:tabs>
                <w:tab w:val="center" w:pos="7286"/>
                <w:tab w:val="right" w:pos="14572"/>
              </w:tabs>
              <w:spacing w:before="180" w:after="0" w:line="240" w:lineRule="auto"/>
              <w:ind w:firstLine="0"/>
              <w:jc w:val="right"/>
              <w:rPr>
                <w:rFonts w:ascii="Times New Roman" w:hAnsi="Times New Roman"/>
                <w:sz w:val="26"/>
                <w:szCs w:val="26"/>
                <w:lang w:val="pt-BR"/>
              </w:rPr>
            </w:pPr>
            <w:r w:rsidRPr="00301868">
              <w:rPr>
                <w:rFonts w:ascii="Times New Roman" w:hAnsi="Times New Roman"/>
                <w:sz w:val="26"/>
                <w:szCs w:val="26"/>
                <w:lang w:val="pt-BR"/>
              </w:rPr>
              <w:t>37.723</w:t>
            </w:r>
          </w:p>
        </w:tc>
        <w:tc>
          <w:tcPr>
            <w:tcW w:w="990" w:type="dxa"/>
          </w:tcPr>
          <w:p w14:paraId="2D99C380" w14:textId="77777777" w:rsidR="008C1F7A" w:rsidRPr="00301868" w:rsidRDefault="008C1F7A" w:rsidP="008C1F7A">
            <w:pPr>
              <w:tabs>
                <w:tab w:val="center" w:pos="7286"/>
                <w:tab w:val="right" w:pos="14572"/>
              </w:tabs>
              <w:spacing w:before="180" w:after="0" w:line="240" w:lineRule="auto"/>
              <w:ind w:firstLine="0"/>
              <w:jc w:val="right"/>
              <w:rPr>
                <w:rFonts w:ascii="Times New Roman" w:hAnsi="Times New Roman"/>
                <w:sz w:val="26"/>
                <w:szCs w:val="26"/>
                <w:lang w:val="pt-BR"/>
              </w:rPr>
            </w:pPr>
            <w:r w:rsidRPr="00301868">
              <w:rPr>
                <w:rFonts w:ascii="Times New Roman" w:hAnsi="Times New Roman"/>
                <w:sz w:val="26"/>
                <w:szCs w:val="26"/>
                <w:lang w:val="pt-BR"/>
              </w:rPr>
              <w:t>43.006</w:t>
            </w:r>
          </w:p>
        </w:tc>
        <w:tc>
          <w:tcPr>
            <w:tcW w:w="1980" w:type="dxa"/>
          </w:tcPr>
          <w:p w14:paraId="7EEDCFFA" w14:textId="77777777" w:rsidR="008C1F7A" w:rsidRPr="00301868" w:rsidRDefault="008C1F7A" w:rsidP="008C1F7A">
            <w:pPr>
              <w:tabs>
                <w:tab w:val="center" w:pos="7286"/>
                <w:tab w:val="right" w:pos="14572"/>
              </w:tabs>
              <w:spacing w:before="180" w:after="0" w:line="240" w:lineRule="auto"/>
              <w:ind w:firstLine="0"/>
              <w:jc w:val="right"/>
              <w:rPr>
                <w:rFonts w:ascii="Times New Roman" w:hAnsi="Times New Roman"/>
                <w:sz w:val="26"/>
                <w:szCs w:val="26"/>
                <w:lang w:val="pt-BR"/>
              </w:rPr>
            </w:pPr>
            <w:r w:rsidRPr="00301868">
              <w:rPr>
                <w:rFonts w:ascii="Times New Roman" w:hAnsi="Times New Roman"/>
                <w:sz w:val="26"/>
                <w:szCs w:val="26"/>
                <w:lang w:val="pt-BR"/>
              </w:rPr>
              <w:t>90.802</w:t>
            </w:r>
          </w:p>
        </w:tc>
      </w:tr>
      <w:tr w:rsidR="008C1F7A" w:rsidRPr="00301868" w14:paraId="1D083D9D" w14:textId="77777777" w:rsidTr="00CB18DF">
        <w:tc>
          <w:tcPr>
            <w:tcW w:w="3420" w:type="dxa"/>
          </w:tcPr>
          <w:p w14:paraId="230257AC" w14:textId="77777777" w:rsidR="008C1F7A" w:rsidRPr="00301868" w:rsidRDefault="008C1F7A" w:rsidP="008C1F7A">
            <w:pPr>
              <w:tabs>
                <w:tab w:val="center" w:pos="7286"/>
                <w:tab w:val="right" w:pos="14572"/>
              </w:tabs>
              <w:spacing w:before="120" w:line="240" w:lineRule="auto"/>
              <w:ind w:left="720" w:firstLine="0"/>
              <w:jc w:val="left"/>
              <w:rPr>
                <w:rFonts w:ascii="Times New Roman" w:hAnsi="Times New Roman"/>
                <w:i/>
                <w:sz w:val="26"/>
                <w:szCs w:val="26"/>
                <w:lang w:val="pt-BR"/>
              </w:rPr>
            </w:pPr>
            <w:r w:rsidRPr="00301868">
              <w:rPr>
                <w:rFonts w:ascii="Times New Roman" w:hAnsi="Times New Roman"/>
                <w:i/>
                <w:sz w:val="26"/>
                <w:szCs w:val="26"/>
                <w:lang w:val="pt-BR"/>
              </w:rPr>
              <w:t>- Số tiền đã thu</w:t>
            </w:r>
          </w:p>
        </w:tc>
        <w:tc>
          <w:tcPr>
            <w:tcW w:w="990" w:type="dxa"/>
          </w:tcPr>
          <w:p w14:paraId="2BEA369B" w14:textId="77777777" w:rsidR="008C1F7A" w:rsidRPr="00301868" w:rsidRDefault="008C1F7A" w:rsidP="008C1F7A">
            <w:pPr>
              <w:tabs>
                <w:tab w:val="center" w:pos="7286"/>
                <w:tab w:val="right" w:pos="14572"/>
              </w:tabs>
              <w:spacing w:before="120" w:line="240" w:lineRule="auto"/>
              <w:ind w:firstLine="0"/>
              <w:jc w:val="right"/>
              <w:rPr>
                <w:rFonts w:ascii="Times New Roman" w:hAnsi="Times New Roman"/>
                <w:i/>
                <w:sz w:val="26"/>
                <w:szCs w:val="26"/>
                <w:lang w:val="pt-BR"/>
              </w:rPr>
            </w:pPr>
            <w:r w:rsidRPr="00301868">
              <w:rPr>
                <w:rFonts w:ascii="Times New Roman" w:hAnsi="Times New Roman"/>
                <w:i/>
                <w:sz w:val="26"/>
                <w:szCs w:val="26"/>
                <w:lang w:val="pt-BR"/>
              </w:rPr>
              <w:t>1.523</w:t>
            </w:r>
          </w:p>
        </w:tc>
        <w:tc>
          <w:tcPr>
            <w:tcW w:w="990" w:type="dxa"/>
          </w:tcPr>
          <w:p w14:paraId="533D98F9" w14:textId="77777777" w:rsidR="008C1F7A" w:rsidRPr="00301868" w:rsidRDefault="008C1F7A" w:rsidP="008C1F7A">
            <w:pPr>
              <w:tabs>
                <w:tab w:val="center" w:pos="7286"/>
                <w:tab w:val="right" w:pos="14572"/>
              </w:tabs>
              <w:spacing w:before="120" w:line="240" w:lineRule="auto"/>
              <w:ind w:firstLine="0"/>
              <w:jc w:val="right"/>
              <w:rPr>
                <w:rFonts w:ascii="Times New Roman" w:hAnsi="Times New Roman"/>
                <w:i/>
                <w:sz w:val="26"/>
                <w:szCs w:val="26"/>
                <w:lang w:val="pt-BR"/>
              </w:rPr>
            </w:pPr>
            <w:r w:rsidRPr="00301868">
              <w:rPr>
                <w:rFonts w:ascii="Times New Roman" w:hAnsi="Times New Roman"/>
                <w:i/>
                <w:sz w:val="26"/>
                <w:szCs w:val="26"/>
                <w:lang w:val="pt-BR"/>
              </w:rPr>
              <w:t>1.749</w:t>
            </w:r>
          </w:p>
        </w:tc>
        <w:tc>
          <w:tcPr>
            <w:tcW w:w="990" w:type="dxa"/>
          </w:tcPr>
          <w:p w14:paraId="7D2258ED" w14:textId="77777777" w:rsidR="008C1F7A" w:rsidRPr="00301868" w:rsidRDefault="008C1F7A" w:rsidP="008C1F7A">
            <w:pPr>
              <w:tabs>
                <w:tab w:val="center" w:pos="7286"/>
                <w:tab w:val="right" w:pos="14572"/>
              </w:tabs>
              <w:spacing w:before="120" w:line="240" w:lineRule="auto"/>
              <w:ind w:firstLine="0"/>
              <w:jc w:val="right"/>
              <w:rPr>
                <w:rFonts w:ascii="Times New Roman" w:hAnsi="Times New Roman"/>
                <w:i/>
                <w:sz w:val="26"/>
                <w:szCs w:val="26"/>
                <w:lang w:val="pt-BR"/>
              </w:rPr>
            </w:pPr>
            <w:r w:rsidRPr="00301868">
              <w:rPr>
                <w:rFonts w:ascii="Times New Roman" w:hAnsi="Times New Roman"/>
                <w:i/>
                <w:sz w:val="26"/>
                <w:szCs w:val="26"/>
                <w:lang w:val="pt-BR"/>
              </w:rPr>
              <w:t>7.288</w:t>
            </w:r>
          </w:p>
        </w:tc>
        <w:tc>
          <w:tcPr>
            <w:tcW w:w="990" w:type="dxa"/>
          </w:tcPr>
          <w:p w14:paraId="29BA7F73" w14:textId="77777777" w:rsidR="008C1F7A" w:rsidRPr="00301868" w:rsidRDefault="008C1F7A" w:rsidP="008C1F7A">
            <w:pPr>
              <w:tabs>
                <w:tab w:val="center" w:pos="7286"/>
                <w:tab w:val="right" w:pos="14572"/>
              </w:tabs>
              <w:spacing w:before="120" w:line="240" w:lineRule="auto"/>
              <w:ind w:firstLine="0"/>
              <w:jc w:val="right"/>
              <w:rPr>
                <w:rFonts w:ascii="Times New Roman" w:hAnsi="Times New Roman"/>
                <w:i/>
                <w:sz w:val="26"/>
                <w:szCs w:val="26"/>
                <w:lang w:val="pt-BR"/>
              </w:rPr>
            </w:pPr>
            <w:r w:rsidRPr="00301868">
              <w:rPr>
                <w:rFonts w:ascii="Times New Roman" w:hAnsi="Times New Roman"/>
                <w:i/>
                <w:sz w:val="26"/>
                <w:szCs w:val="26"/>
                <w:lang w:val="pt-BR"/>
              </w:rPr>
              <w:t>13.398</w:t>
            </w:r>
          </w:p>
        </w:tc>
        <w:tc>
          <w:tcPr>
            <w:tcW w:w="1980" w:type="dxa"/>
          </w:tcPr>
          <w:p w14:paraId="72B82249" w14:textId="77777777" w:rsidR="008C1F7A" w:rsidRPr="00301868" w:rsidRDefault="008C1F7A" w:rsidP="008C1F7A">
            <w:pPr>
              <w:tabs>
                <w:tab w:val="center" w:pos="7286"/>
                <w:tab w:val="right" w:pos="14572"/>
              </w:tabs>
              <w:spacing w:before="120" w:line="240" w:lineRule="auto"/>
              <w:ind w:firstLine="0"/>
              <w:jc w:val="right"/>
              <w:rPr>
                <w:rFonts w:ascii="Times New Roman" w:hAnsi="Times New Roman"/>
                <w:i/>
                <w:sz w:val="26"/>
                <w:szCs w:val="26"/>
                <w:lang w:val="pt-BR"/>
              </w:rPr>
            </w:pPr>
            <w:r w:rsidRPr="00301868">
              <w:rPr>
                <w:rFonts w:ascii="Times New Roman" w:hAnsi="Times New Roman"/>
                <w:i/>
                <w:sz w:val="26"/>
                <w:szCs w:val="26"/>
                <w:lang w:val="pt-BR"/>
              </w:rPr>
              <w:t>23.958</w:t>
            </w:r>
          </w:p>
        </w:tc>
      </w:tr>
    </w:tbl>
    <w:p w14:paraId="60306382" w14:textId="77777777" w:rsidR="008C1F7A" w:rsidRPr="00301868" w:rsidRDefault="008C1F7A" w:rsidP="008C1F7A">
      <w:pPr>
        <w:spacing w:before="60" w:after="0" w:line="240" w:lineRule="auto"/>
        <w:ind w:firstLine="0"/>
        <w:jc w:val="left"/>
        <w:rPr>
          <w:rFonts w:eastAsia="Calibri"/>
          <w:sz w:val="24"/>
          <w:szCs w:val="24"/>
        </w:rPr>
      </w:pPr>
      <w:r w:rsidRPr="00301868">
        <w:rPr>
          <w:rFonts w:eastAsia="Calibri"/>
          <w:i/>
          <w:sz w:val="24"/>
          <w:szCs w:val="24"/>
        </w:rPr>
        <w:t xml:space="preserve">Nguồn: </w:t>
      </w:r>
      <w:r w:rsidRPr="00301868">
        <w:rPr>
          <w:rFonts w:eastAsia="Calibri"/>
          <w:i/>
          <w:sz w:val="24"/>
          <w:szCs w:val="24"/>
        </w:rPr>
        <w:tab/>
      </w:r>
      <w:r w:rsidRPr="00301868">
        <w:rPr>
          <w:rFonts w:eastAsia="Calibri"/>
          <w:sz w:val="24"/>
          <w:szCs w:val="24"/>
        </w:rPr>
        <w:t>Báo cáo của Bảo hiểm xã hội Việt Nam</w:t>
      </w:r>
    </w:p>
    <w:p w14:paraId="3B666A43" w14:textId="77777777" w:rsidR="008C1F7A" w:rsidRPr="00301868" w:rsidRDefault="008C1F7A" w:rsidP="008C1F7A">
      <w:pPr>
        <w:spacing w:after="0" w:line="240" w:lineRule="auto"/>
        <w:rPr>
          <w:rFonts w:eastAsia="Calibri"/>
        </w:rPr>
      </w:pPr>
    </w:p>
    <w:p w14:paraId="19BF41A6" w14:textId="7089C7AF" w:rsidR="008C1F7A" w:rsidRPr="00301868" w:rsidRDefault="001875BF" w:rsidP="001875BF">
      <w:pPr>
        <w:pStyle w:val="Heading3"/>
        <w:rPr>
          <w:rFonts w:eastAsia="Calibri"/>
        </w:rPr>
      </w:pPr>
      <w:bookmarkStart w:id="45" w:name="_Toc63186714"/>
      <w:r w:rsidRPr="00301868">
        <w:rPr>
          <w:rFonts w:eastAsia="Calibri"/>
        </w:rPr>
        <w:t>6.2.</w:t>
      </w:r>
      <w:r w:rsidR="008C1F7A" w:rsidRPr="00301868">
        <w:rPr>
          <w:rFonts w:eastAsia="Calibri"/>
        </w:rPr>
        <w:t xml:space="preserve"> Những hạn chế, vướng mắc trong giải quyết khiếu nại, tố cáo về bảo hiểm xã hội</w:t>
      </w:r>
      <w:bookmarkEnd w:id="45"/>
    </w:p>
    <w:p w14:paraId="78763009" w14:textId="77777777" w:rsidR="008C1F7A" w:rsidRPr="00301868" w:rsidRDefault="008C1F7A" w:rsidP="001875BF">
      <w:pPr>
        <w:rPr>
          <w:rFonts w:eastAsia="Calibri"/>
        </w:rPr>
      </w:pPr>
      <w:r w:rsidRPr="00301868">
        <w:rPr>
          <w:rFonts w:eastAsia="Calibri"/>
        </w:rPr>
        <w:t xml:space="preserve">- Việc mất mát và lưu giữ không đầy đủ hồ sơ giấy tờ liên quan đến quyền hưởng chế độ bảo hiểm xã hội của người lao động trong một thời gian dài, đặc biệt đối với chế độ hưu trí.   </w:t>
      </w:r>
    </w:p>
    <w:p w14:paraId="35FAE1D0" w14:textId="77777777" w:rsidR="008C1F7A" w:rsidRPr="00301868" w:rsidRDefault="008C1F7A" w:rsidP="001875BF">
      <w:pPr>
        <w:rPr>
          <w:rFonts w:eastAsia="Calibri"/>
        </w:rPr>
      </w:pPr>
      <w:r w:rsidRPr="00301868">
        <w:rPr>
          <w:rFonts w:eastAsia="Calibri"/>
        </w:rPr>
        <w:t xml:space="preserve">- Thiếu tính đồng bộ giữa các văn bản quy phạm pháp luật trong xử lý vi phạm pháp luật về bảo hiểm xã hội, điển hình là mặc dù có quyền khởi kiện ra Toàn án đối với hành vi vi phạm pháp luật về bảo hiểm xã hội nhưng các tổ chức công đoàn rất khó thực hiện quyền này trong thực tiễn.  </w:t>
      </w:r>
    </w:p>
    <w:p w14:paraId="79B97490" w14:textId="5DCCF5EB" w:rsidR="008C1F7A" w:rsidRPr="00301868" w:rsidRDefault="008C1F7A" w:rsidP="001875BF">
      <w:pPr>
        <w:pStyle w:val="Heading3"/>
        <w:rPr>
          <w:rFonts w:eastAsia="Calibri"/>
        </w:rPr>
      </w:pPr>
      <w:bookmarkStart w:id="46" w:name="_Toc63186715"/>
      <w:r w:rsidRPr="00301868">
        <w:rPr>
          <w:rFonts w:eastAsia="Calibri"/>
        </w:rPr>
        <w:t>6.</w:t>
      </w:r>
      <w:r w:rsidR="001875BF" w:rsidRPr="00301868">
        <w:rPr>
          <w:rFonts w:eastAsia="Calibri"/>
        </w:rPr>
        <w:t>3.</w:t>
      </w:r>
      <w:r w:rsidRPr="00301868">
        <w:rPr>
          <w:rFonts w:eastAsia="Calibri"/>
        </w:rPr>
        <w:t xml:space="preserve"> Các giải pháp tăng cường hiệu quả công tác giải quyết khiếu nại, tố cáo về bảo hiểm xã hội</w:t>
      </w:r>
      <w:bookmarkEnd w:id="46"/>
      <w:r w:rsidRPr="00301868">
        <w:rPr>
          <w:rFonts w:eastAsia="Calibri"/>
        </w:rPr>
        <w:t xml:space="preserve"> </w:t>
      </w:r>
    </w:p>
    <w:p w14:paraId="22C8A79D" w14:textId="03E4C98F" w:rsidR="008C1F7A" w:rsidRPr="00301868" w:rsidRDefault="008C1F7A" w:rsidP="001875BF">
      <w:pPr>
        <w:rPr>
          <w:rFonts w:eastAsia="Calibri"/>
        </w:rPr>
      </w:pPr>
      <w:r w:rsidRPr="00301868">
        <w:rPr>
          <w:rFonts w:eastAsia="Calibri"/>
        </w:rPr>
        <w:t>Quy định cụ thể và trách nhiệm rõ ràng của các bên liên quan trong công tác giải quyết khiếu nại, tố cáo về bảo hiểm xã hội, đặc biệt quyền khởi kiện ra Toàn án đối với hành vi vi phạm pháp luật về bảo hiểm xã hội của các tổ chức công đoàn.</w:t>
      </w:r>
    </w:p>
    <w:p w14:paraId="6847CFE2" w14:textId="77777777" w:rsidR="008C1F7A" w:rsidRPr="00301868" w:rsidRDefault="008C1F7A" w:rsidP="001875BF">
      <w:pPr>
        <w:pStyle w:val="Heading2"/>
        <w:rPr>
          <w:rFonts w:eastAsia="Calibri"/>
        </w:rPr>
      </w:pPr>
      <w:bookmarkStart w:id="47" w:name="_Toc63186716"/>
      <w:r w:rsidRPr="00301868">
        <w:rPr>
          <w:rFonts w:eastAsia="Calibri"/>
        </w:rPr>
        <w:t>VII. CÁC VẤN ĐỀ KHÁC CÓ LIÊN QUAN</w:t>
      </w:r>
      <w:bookmarkEnd w:id="47"/>
      <w:r w:rsidRPr="00301868">
        <w:rPr>
          <w:rFonts w:eastAsia="Calibri"/>
        </w:rPr>
        <w:t xml:space="preserve"> </w:t>
      </w:r>
    </w:p>
    <w:p w14:paraId="424DF148" w14:textId="368DE9B4" w:rsidR="008C1F7A" w:rsidRPr="00301868" w:rsidRDefault="008C1F7A" w:rsidP="001875BF">
      <w:pPr>
        <w:pStyle w:val="Heading3"/>
        <w:rPr>
          <w:rFonts w:eastAsia="Calibri"/>
        </w:rPr>
      </w:pPr>
      <w:bookmarkStart w:id="48" w:name="_Toc63186717"/>
      <w:r w:rsidRPr="00301868">
        <w:rPr>
          <w:rFonts w:eastAsia="Calibri"/>
        </w:rPr>
        <w:t>7.1</w:t>
      </w:r>
      <w:r w:rsidR="001875BF" w:rsidRPr="00301868">
        <w:rPr>
          <w:rFonts w:eastAsia="Calibri"/>
        </w:rPr>
        <w:t>.</w:t>
      </w:r>
      <w:r w:rsidRPr="00301868">
        <w:rPr>
          <w:rFonts w:eastAsia="Calibri"/>
        </w:rPr>
        <w:t xml:space="preserve"> Công tác hiện đại hóa quản lý bảo hiểm xã hội</w:t>
      </w:r>
      <w:bookmarkEnd w:id="48"/>
      <w:r w:rsidRPr="00301868">
        <w:rPr>
          <w:rFonts w:eastAsia="Calibri"/>
        </w:rPr>
        <w:t xml:space="preserve"> </w:t>
      </w:r>
    </w:p>
    <w:p w14:paraId="5AF87C64" w14:textId="77777777" w:rsidR="008C1F7A" w:rsidRPr="00301868" w:rsidRDefault="008C1F7A" w:rsidP="001875BF">
      <w:pPr>
        <w:rPr>
          <w:rFonts w:eastAsia="Calibri"/>
        </w:rPr>
      </w:pPr>
      <w:r w:rsidRPr="00301868">
        <w:rPr>
          <w:rFonts w:eastAsia="Calibri"/>
        </w:rPr>
        <w:t>Công nghệ thông tin và truyền thông (ICT) đóng vai trò chiến lược trong thực hiện bảo hiểm xã hội, cho phép cải thiện chất lượng dịch vụ của các tổ chức bảo hiểm xã hội. Chính vì vậy, BHXH Việt Nam đã chủ động, tích cực trong:</w:t>
      </w:r>
    </w:p>
    <w:p w14:paraId="7A5D0001" w14:textId="77777777" w:rsidR="008C1F7A" w:rsidRPr="00301868" w:rsidRDefault="008C1F7A" w:rsidP="001875BF">
      <w:pPr>
        <w:rPr>
          <w:rFonts w:eastAsia="Calibri"/>
        </w:rPr>
      </w:pPr>
      <w:r w:rsidRPr="00301868">
        <w:rPr>
          <w:rFonts w:eastAsia="Calibri"/>
        </w:rPr>
        <w:t xml:space="preserve">- Ứng dụng công nghệ thông tin vào công tác thực hiện chính sách BHXH, bao gồm:   </w:t>
      </w:r>
    </w:p>
    <w:p w14:paraId="1FF9AA2F" w14:textId="5CEAAD26" w:rsidR="008C1F7A" w:rsidRPr="00301868" w:rsidRDefault="008C1F7A" w:rsidP="001875BF">
      <w:pPr>
        <w:rPr>
          <w:rFonts w:eastAsia="Calibri"/>
        </w:rPr>
      </w:pPr>
      <w:r w:rsidRPr="00301868">
        <w:rPr>
          <w:rFonts w:eastAsia="Calibri"/>
        </w:rPr>
        <w:t xml:space="preserve">(i) Tập trung nâng cấp phần mềm thu và quản lý sổ </w:t>
      </w:r>
      <w:r w:rsidR="00CB18DF" w:rsidRPr="00301868">
        <w:rPr>
          <w:rFonts w:eastAsia="Calibri"/>
        </w:rPr>
        <w:t>-</w:t>
      </w:r>
      <w:r w:rsidRPr="00301868">
        <w:rPr>
          <w:rFonts w:eastAsia="Calibri"/>
        </w:rPr>
        <w:t xml:space="preserve"> thẻ (TST), phần mềm xét duyệt chính sách BHXH (TCS) và Phần mềm Cấp mã số BHXH góp phần giảm thời gian tác nghiệp, thời gian giao dịch và giảm hồ sơ bằng giấy; phần mềm TCS được kết nối với cơ sở dữ liệu thu và quản lý sổ thẻ để hỗ trợ đối soát trong giải quyết chế độ ốm đau, thai sản, góp phần đẩy nhanh quá trình </w:t>
      </w:r>
      <w:r w:rsidRPr="00301868">
        <w:rPr>
          <w:rFonts w:eastAsia="Calibri"/>
        </w:rPr>
        <w:lastRenderedPageBreak/>
        <w:t>giải quyết chế độ BHXH đối với người dân và phát hiện một số trường hợp sai phạm, có dấu hiệu trục lợi.</w:t>
      </w:r>
    </w:p>
    <w:p w14:paraId="26436DC8" w14:textId="77777777" w:rsidR="008C1F7A" w:rsidRPr="00301868" w:rsidRDefault="008C1F7A" w:rsidP="001875BF">
      <w:pPr>
        <w:rPr>
          <w:rFonts w:eastAsia="Calibri"/>
        </w:rPr>
      </w:pPr>
      <w:r w:rsidRPr="00301868">
        <w:rPr>
          <w:rFonts w:eastAsia="Calibri"/>
        </w:rPr>
        <w:t>(ii) Cơ bản hoàn thành việc rà soát, đối chiếu mã số BHXH, xác nhận thời gian đã đóng BHXH trên sổ BHXH và bàn giao sổ BHXH cho người lao động theo quy định tại khoản 2 Điều 18 Luật BHXH 2014; tiến với việc thay thế sổ BHXH bằng thẻ BHXH điện tử theo quy định tại khoản 2 Điều 96 Luật BHXH 2014.</w:t>
      </w:r>
    </w:p>
    <w:p w14:paraId="756CD08C" w14:textId="77777777" w:rsidR="008C1F7A" w:rsidRPr="00301868" w:rsidRDefault="008C1F7A" w:rsidP="001875BF">
      <w:pPr>
        <w:rPr>
          <w:rFonts w:eastAsia="Calibri"/>
        </w:rPr>
      </w:pPr>
      <w:r w:rsidRPr="00301868">
        <w:rPr>
          <w:rFonts w:eastAsia="Calibri"/>
        </w:rPr>
        <w:t>(iii) Liên quan tới việc cấp mã số an sinh xã hội cho công dân, ngày 25 tháng 5 năm 2017, Thủ tướng Chính phủ đã ban hành Quyết định số 708/QĐ-TTg phê duyệt Đề án xây dựng cơ sở dữ liệu quốc gia về an sinh xã hội, ứng dụng công nghệ thông tin vào giải quyết chính sách an sinh xã hội đến năm 2020 và định hướng phát triển đến năm 2030, trong đó đặt ra mục tiêu về hoàn thiện cơ sở pháp lý và triển khai cấp số và thẻ an sinh xã hội điện tử.</w:t>
      </w:r>
    </w:p>
    <w:p w14:paraId="358F85D7" w14:textId="77777777" w:rsidR="008C1F7A" w:rsidRPr="00301868" w:rsidRDefault="008C1F7A" w:rsidP="001875BF">
      <w:pPr>
        <w:rPr>
          <w:rFonts w:eastAsia="Calibri"/>
        </w:rPr>
      </w:pPr>
      <w:r w:rsidRPr="00301868">
        <w:rPr>
          <w:rFonts w:eastAsia="Calibri"/>
        </w:rPr>
        <w:t xml:space="preserve">- Tích cực trong việc đơn giản hóa thủ tục hành chính, giao dịch điện tử trong lĩnh vực BHXH với các kết quả: </w:t>
      </w:r>
    </w:p>
    <w:p w14:paraId="666FECAF" w14:textId="77777777" w:rsidR="008C1F7A" w:rsidRPr="00301868" w:rsidRDefault="008C1F7A" w:rsidP="001875BF">
      <w:pPr>
        <w:rPr>
          <w:rFonts w:eastAsia="Calibri"/>
        </w:rPr>
      </w:pPr>
      <w:r w:rsidRPr="00301868">
        <w:rPr>
          <w:rFonts w:eastAsia="Calibri"/>
        </w:rPr>
        <w:t>(i) 445.330 đơn vị đăng ký tham gia giao dịch điện tử BHXH; năm 2019, cơ quan BHXH đã tiếp nhận 62.429.593 hồ sơ giao dịch điện tử.</w:t>
      </w:r>
    </w:p>
    <w:p w14:paraId="6925BCB4" w14:textId="77777777" w:rsidR="008C1F7A" w:rsidRPr="00301868" w:rsidRDefault="008C1F7A" w:rsidP="001875BF">
      <w:pPr>
        <w:rPr>
          <w:rFonts w:eastAsia="Calibri"/>
        </w:rPr>
      </w:pPr>
      <w:r w:rsidRPr="00301868">
        <w:rPr>
          <w:rFonts w:eastAsia="Calibri"/>
        </w:rPr>
        <w:t>- Số thủ tục hành chính thuộc thẩm quyền giải quyết của cơ quan BHXH là 27 thủ tục, trong đó 22 thủ tục liên quan tới lĩnh vực BHXH, BHTN và 5 thủ tục chỉ thuộc lĩnh vực BHYT, trong đó: 11/22 (50%) thủ tục là dịch vụ công mức độ 4; 5/22 thủ tục (22,7%) thủ tục là dịch vụ công mức độ 3 và 6/22 (27,3%) thủ tục là dịch vụ công mức độ 2.</w:t>
      </w:r>
    </w:p>
    <w:p w14:paraId="11F558F8" w14:textId="77777777" w:rsidR="008C1F7A" w:rsidRPr="00301868" w:rsidRDefault="008C1F7A" w:rsidP="001875BF">
      <w:pPr>
        <w:rPr>
          <w:rFonts w:eastAsia="Calibri"/>
        </w:rPr>
      </w:pPr>
      <w:r w:rsidRPr="00301868">
        <w:rPr>
          <w:rFonts w:eastAsia="Calibri"/>
        </w:rPr>
        <w:t>- Chủ động xây dựng và vận hành cơ sở dữ liệu điện tử về quản lý BHXH. Đến nay, về cơ bản các cơ sở dữ liệu quản lý đối tượng tham gia, đối tượng thụ hưởng các chế độ BHXH đã được hoàn thiện, chuẩn hóa và liên thông trên phạm vi toàn quốc và thực hiện kết nối, trao đổi thông tin thường xuyên.</w:t>
      </w:r>
    </w:p>
    <w:p w14:paraId="472C4DC3" w14:textId="77777777" w:rsidR="008C1F7A" w:rsidRPr="00301868" w:rsidRDefault="008C1F7A" w:rsidP="001875BF">
      <w:pPr>
        <w:rPr>
          <w:rFonts w:eastAsia="Calibri"/>
        </w:rPr>
      </w:pPr>
      <w:r w:rsidRPr="00301868">
        <w:rPr>
          <w:rFonts w:eastAsia="Calibri"/>
        </w:rPr>
        <w:t>- Từng bước chia sẻ thông tin, kết nối dữ liệu giữa cơ quan BHXH với các cơ quan quản lý nhà nước có liên quan khác, bao gồm:</w:t>
      </w:r>
    </w:p>
    <w:p w14:paraId="4201E0C7" w14:textId="77777777" w:rsidR="008C1F7A" w:rsidRPr="00301868" w:rsidRDefault="008C1F7A" w:rsidP="001875BF">
      <w:pPr>
        <w:rPr>
          <w:rFonts w:eastAsia="Calibri"/>
        </w:rPr>
      </w:pPr>
      <w:r w:rsidRPr="00301868">
        <w:rPr>
          <w:rFonts w:eastAsia="Calibri"/>
        </w:rPr>
        <w:t>(i) Cơ quan BHXH và cơ quan thuế đã trao đổi dữ liệu về người sử dụng lao động tham gia BHXH và dữ liệu tổ chức, cá nhân trả thu nhập đang nộp thuế để phối hợp quản lý thu các khoản BHXH bắt buộc, BHYT, BHTN và quản lý thu thuế, thông qua đó phát hiện đơn vị trốn đóng BHXH, đóng không đủ BHXH để có biện pháp xử lý.</w:t>
      </w:r>
    </w:p>
    <w:p w14:paraId="274EEADE" w14:textId="77777777" w:rsidR="008C1F7A" w:rsidRPr="00301868" w:rsidRDefault="008C1F7A" w:rsidP="001875BF">
      <w:pPr>
        <w:rPr>
          <w:rFonts w:eastAsia="Calibri"/>
        </w:rPr>
      </w:pPr>
      <w:r w:rsidRPr="00301868">
        <w:rPr>
          <w:rFonts w:eastAsia="Calibri"/>
        </w:rPr>
        <w:t xml:space="preserve">(ii) Bổ sung chức năng Tra cứu BHTN trên Cổng Thông tin điện tử của cơ quan BHXH ; đồng thời cấp tài khoản để hỗ trợ cán bộ thuộc trung tâm dịch vụ việc làm tra cứu các thông tin về BHTN . </w:t>
      </w:r>
    </w:p>
    <w:p w14:paraId="05C4D2D9" w14:textId="77777777" w:rsidR="008C1F7A" w:rsidRPr="00301868" w:rsidRDefault="008C1F7A" w:rsidP="001875BF">
      <w:pPr>
        <w:rPr>
          <w:rFonts w:eastAsia="Calibri"/>
        </w:rPr>
      </w:pPr>
      <w:r w:rsidRPr="00301868">
        <w:rPr>
          <w:rFonts w:eastAsia="Calibri"/>
        </w:rPr>
        <w:lastRenderedPageBreak/>
        <w:t>(iii) Khai trương cơ sở dữ liệu chuyên ngành BHXH và kết nối với hệ thống thông tin đăng ký và quản lý hộ tịch qua Hệ thống kết nối liên thông các hệ thống thông tin từ Trung ương đến địa phương .</w:t>
      </w:r>
    </w:p>
    <w:p w14:paraId="37740AD6" w14:textId="77777777" w:rsidR="008C1F7A" w:rsidRPr="00301868" w:rsidRDefault="008C1F7A" w:rsidP="001875BF">
      <w:pPr>
        <w:rPr>
          <w:rFonts w:eastAsia="Calibri"/>
        </w:rPr>
      </w:pPr>
      <w:r w:rsidRPr="00301868">
        <w:rPr>
          <w:rFonts w:eastAsia="Calibri"/>
        </w:rPr>
        <w:t xml:space="preserve">(iv) Tích hợp, giải quyết liên thông cấp lại thẻ BHYT do hỏng, mất trên Cổng dịch vụ công quốc gia. </w:t>
      </w:r>
    </w:p>
    <w:p w14:paraId="4D98840C" w14:textId="77777777" w:rsidR="008C1F7A" w:rsidRPr="00301868" w:rsidRDefault="008C1F7A" w:rsidP="001875BF">
      <w:pPr>
        <w:rPr>
          <w:rFonts w:eastAsia="Calibri"/>
        </w:rPr>
      </w:pPr>
      <w:r w:rsidRPr="00301868">
        <w:rPr>
          <w:rFonts w:eastAsia="Calibri"/>
        </w:rPr>
        <w:t>- Định kỳ cung cấp thông tin về đóng BHXH cho người lao động và trách nhiệm của người sử dụng lao động và cơ quan BHXH. BHXH Việt Nam đã triển khai Hệ thống tương tác đa phương tiện giữa người dân và doanh nghiệp với cơ quan BHXH (Hệ thống SMS). Qua đó, tổ chức, cá nhân có thể chủ động hơn trong việc nắm bắt, cập nhật thông tin quá trình tham gia, thụ hưởng các chính sách BHXH, BHYT; tích cực tham gia phòng, chống các hành vi vi phạm pháp luật, bảo vệ quyền lợi chính đáng của người dân. Bên cạnh đó, cơ quan BHXH triển khai sử dụng trí tuệ nhân tạo (Chatbot) để trả lời tự động các vấn đề thường gặp trên Cổng thông tin điện tử và fanpage.</w:t>
      </w:r>
    </w:p>
    <w:p w14:paraId="1DD6ECDB" w14:textId="77777777" w:rsidR="008C1F7A" w:rsidRPr="00301868" w:rsidRDefault="008C1F7A" w:rsidP="001875BF">
      <w:pPr>
        <w:rPr>
          <w:rFonts w:eastAsia="Calibri"/>
        </w:rPr>
      </w:pPr>
      <w:r w:rsidRPr="00301868">
        <w:rPr>
          <w:rFonts w:eastAsia="Calibri"/>
        </w:rPr>
        <w:t>Tuy nhiên, việc kết nối hệ thống thông tin điện tử về BHXH chưa có sự liên thông, kết nối với 6 cơ sở dữ liệu quốc gia như cấp phép doanh nghiệp</w:t>
      </w:r>
      <w:r w:rsidRPr="00301868">
        <w:rPr>
          <w:bCs/>
          <w:color w:val="000000"/>
          <w:shd w:val="clear" w:color="auto" w:fill="FFFFFF"/>
          <w:vertAlign w:val="superscript"/>
          <w:lang w:val="sv-SE"/>
        </w:rPr>
        <w:footnoteReference w:id="17"/>
      </w:r>
      <w:r w:rsidRPr="00301868">
        <w:rPr>
          <w:bCs/>
          <w:color w:val="000000"/>
          <w:shd w:val="clear" w:color="auto" w:fill="FFFFFF"/>
          <w:lang w:val="sv-SE"/>
        </w:rPr>
        <w:t xml:space="preserve">, </w:t>
      </w:r>
      <w:r w:rsidRPr="00301868">
        <w:rPr>
          <w:rFonts w:eastAsia="Calibri"/>
        </w:rPr>
        <w:t xml:space="preserve">quản lý lao động, quản lý thuế dẫn đến công tác xác định, quản lý đối tượng thuộc diện tham gia BHXH còn nhiều hạn chế. </w:t>
      </w:r>
    </w:p>
    <w:p w14:paraId="6F418F09" w14:textId="77777777" w:rsidR="008C1F7A" w:rsidRPr="00301868" w:rsidRDefault="008C1F7A" w:rsidP="001875BF">
      <w:pPr>
        <w:rPr>
          <w:rFonts w:eastAsia="Calibri"/>
        </w:rPr>
      </w:pPr>
      <w:r w:rsidRPr="00301868">
        <w:rPr>
          <w:rFonts w:eastAsia="Calibri"/>
        </w:rPr>
        <w:t>Từ năm 2016, mặc dù đã cơ quan Thuế hàng năm cung cấp dữ liệu và BHXH Việt Nam đã gửi danh sách doanh nghiệp chưa đóng, doanh nghiệp chưa đóng đầy đủ cho số người thuộc diện phải tham gia BHXH, BHYT bắt buộc trên địa bàn đến BHXH tỉnh, thành phố và BHXH cấp huyện, quận để đôn đốc, thanh tra, kiểm tra nhằm khắc phục hậu quả, nhưng bảo hiểm xã hội các tỉnh/thành phố có số doanh nghiệp, số lao động chưa đóng, trốn đóng lớn mới chỉ rà soát, làm việc, đôn đốc được từ 40% đến 50%</w:t>
      </w:r>
      <w:r w:rsidRPr="00301868">
        <w:rPr>
          <w:bCs/>
          <w:color w:val="000000"/>
          <w:shd w:val="clear" w:color="auto" w:fill="FFFFFF"/>
          <w:vertAlign w:val="superscript"/>
          <w:lang w:val="sv-SE"/>
        </w:rPr>
        <w:footnoteReference w:id="18"/>
      </w:r>
      <w:r w:rsidRPr="00301868">
        <w:rPr>
          <w:rFonts w:eastAsia="Calibri"/>
        </w:rPr>
        <w:t>.</w:t>
      </w:r>
    </w:p>
    <w:p w14:paraId="00FF6212" w14:textId="09D4026D" w:rsidR="008C1F7A" w:rsidRPr="00301868" w:rsidRDefault="008C1F7A" w:rsidP="001875BF">
      <w:pPr>
        <w:pStyle w:val="Heading3"/>
        <w:rPr>
          <w:rFonts w:eastAsia="Calibri"/>
        </w:rPr>
      </w:pPr>
      <w:bookmarkStart w:id="49" w:name="_Toc63186718"/>
      <w:r w:rsidRPr="00301868">
        <w:rPr>
          <w:rFonts w:eastAsia="Calibri"/>
        </w:rPr>
        <w:t>7.2</w:t>
      </w:r>
      <w:r w:rsidR="001875BF" w:rsidRPr="00301868">
        <w:rPr>
          <w:rFonts w:eastAsia="Calibri"/>
        </w:rPr>
        <w:t>.</w:t>
      </w:r>
      <w:r w:rsidRPr="00301868">
        <w:rPr>
          <w:rFonts w:eastAsia="Calibri"/>
        </w:rPr>
        <w:t xml:space="preserve"> Công tác thống kê, kế toán tài chính về bảo hiểm xã hội</w:t>
      </w:r>
      <w:bookmarkEnd w:id="49"/>
      <w:r w:rsidRPr="00301868">
        <w:rPr>
          <w:rFonts w:eastAsia="Calibri"/>
        </w:rPr>
        <w:t xml:space="preserve"> </w:t>
      </w:r>
    </w:p>
    <w:p w14:paraId="2D172F10" w14:textId="77777777" w:rsidR="008C1F7A" w:rsidRPr="00301868" w:rsidRDefault="008C1F7A" w:rsidP="001875BF">
      <w:pPr>
        <w:rPr>
          <w:rFonts w:eastAsia="Calibri"/>
        </w:rPr>
      </w:pPr>
      <w:r w:rsidRPr="00301868">
        <w:rPr>
          <w:rFonts w:eastAsia="Calibri"/>
        </w:rPr>
        <w:t xml:space="preserve">Một trong những trách nhiệm của cơ quan bảo hiểm xã hội là thực hiện công tác thống kê, kế toán tài chính về bảo hiểm xã hội. Số liệu thống kê, kế toán tài chính về bảo hiểm xã hội chính xác, đầy đủ, rõ ràng sẽ tạo dựng được lòng tin của các bên tham gia bảo hiểm xã hội cũng như hỗ trợ cho cơ quan quản lý Nhà nước trong kịp thời sửa đổi, bổ sung và hoạch định chính sách. </w:t>
      </w:r>
    </w:p>
    <w:p w14:paraId="48CE23E4" w14:textId="77777777" w:rsidR="008C1F7A" w:rsidRPr="00301868" w:rsidRDefault="008C1F7A" w:rsidP="001875BF">
      <w:pPr>
        <w:rPr>
          <w:rFonts w:eastAsia="Calibri"/>
        </w:rPr>
      </w:pPr>
      <w:r w:rsidRPr="00301868">
        <w:rPr>
          <w:rFonts w:eastAsia="Calibri"/>
        </w:rPr>
        <w:t xml:space="preserve">Trong giai đoạn 2016-2019, mặc dù ngành bảo hiểm xã hội đã có nhiều chuyển biến tích cực trong xây dựng và tổ chức thực hiện hệ thống thống kê về </w:t>
      </w:r>
      <w:r w:rsidRPr="00301868">
        <w:rPr>
          <w:rFonts w:eastAsia="Calibri"/>
        </w:rPr>
        <w:lastRenderedPageBreak/>
        <w:t xml:space="preserve">bảo hiểm xã hội. Tuy nhiên việc cung cấp và chia sẻ số liệu để phục vụ công tác xây dựng chính sách, pháp luật vẫn còn nhiều hạn chế. </w:t>
      </w:r>
    </w:p>
    <w:p w14:paraId="2743C675" w14:textId="77777777" w:rsidR="008C1F7A" w:rsidRPr="00301868" w:rsidRDefault="008C1F7A" w:rsidP="008C1F7A">
      <w:pPr>
        <w:spacing w:before="40" w:after="0" w:line="240" w:lineRule="auto"/>
        <w:rPr>
          <w:rFonts w:eastAsia="Calibri"/>
        </w:rPr>
      </w:pPr>
    </w:p>
    <w:p w14:paraId="6E214E2B" w14:textId="77777777" w:rsidR="008C1F7A" w:rsidRPr="00301868" w:rsidRDefault="008C1F7A" w:rsidP="001875BF">
      <w:pPr>
        <w:pStyle w:val="Heading1"/>
        <w:rPr>
          <w:rFonts w:eastAsia="Calibri"/>
        </w:rPr>
      </w:pPr>
      <w:bookmarkStart w:id="50" w:name="_Toc63186719"/>
      <w:r w:rsidRPr="00301868">
        <w:rPr>
          <w:rFonts w:eastAsia="Calibri"/>
        </w:rPr>
        <w:t>Phần thứ tư</w:t>
      </w:r>
      <w:bookmarkEnd w:id="50"/>
    </w:p>
    <w:p w14:paraId="0EC0B565" w14:textId="75A9914F" w:rsidR="008C1F7A" w:rsidRPr="00301868" w:rsidRDefault="008C1F7A" w:rsidP="008C1F7A">
      <w:pPr>
        <w:spacing w:before="40" w:after="0" w:line="240" w:lineRule="auto"/>
        <w:ind w:firstLine="0"/>
        <w:jc w:val="center"/>
        <w:rPr>
          <w:rFonts w:eastAsia="Calibri"/>
          <w:b/>
        </w:rPr>
      </w:pPr>
      <w:r w:rsidRPr="00301868">
        <w:rPr>
          <w:rFonts w:eastAsia="Calibri"/>
          <w:b/>
        </w:rPr>
        <w:t>KIẾN NGHỊ VÀ ĐỀ XUẤT</w:t>
      </w:r>
    </w:p>
    <w:p w14:paraId="05388D1F" w14:textId="77777777" w:rsidR="00145BEE" w:rsidRPr="00301868" w:rsidRDefault="00145BEE" w:rsidP="008C1F7A">
      <w:pPr>
        <w:spacing w:before="40" w:after="0" w:line="240" w:lineRule="auto"/>
        <w:ind w:firstLine="0"/>
        <w:jc w:val="center"/>
        <w:rPr>
          <w:rFonts w:eastAsia="Calibri"/>
          <w:b/>
        </w:rPr>
      </w:pPr>
    </w:p>
    <w:p w14:paraId="7C7E574E" w14:textId="77777777" w:rsidR="008C1F7A" w:rsidRPr="00301868" w:rsidRDefault="008C1F7A" w:rsidP="001875BF">
      <w:pPr>
        <w:pStyle w:val="Heading2"/>
        <w:rPr>
          <w:rFonts w:eastAsia="Calibri"/>
        </w:rPr>
      </w:pPr>
      <w:bookmarkStart w:id="51" w:name="_Toc63186720"/>
      <w:r w:rsidRPr="00301868">
        <w:rPr>
          <w:rFonts w:eastAsia="Calibri"/>
        </w:rPr>
        <w:t>I. NHỮNG VẤN ĐỀ PHÁT SINH TRONG QUÁ TRÌNH THI HÀNH LUẬT BẢO HIỂM XÃ HỘI 2014</w:t>
      </w:r>
      <w:bookmarkEnd w:id="51"/>
    </w:p>
    <w:p w14:paraId="0CBAB278" w14:textId="2D93E951" w:rsidR="008C1F7A" w:rsidRPr="00301868" w:rsidRDefault="001875BF" w:rsidP="001875BF">
      <w:pPr>
        <w:pStyle w:val="Heading3"/>
        <w:rPr>
          <w:rFonts w:eastAsia="Calibri"/>
        </w:rPr>
      </w:pPr>
      <w:bookmarkStart w:id="52" w:name="_Toc63186721"/>
      <w:r w:rsidRPr="00301868">
        <w:rPr>
          <w:rFonts w:eastAsia="Calibri"/>
        </w:rPr>
        <w:t xml:space="preserve">1.1. </w:t>
      </w:r>
      <w:r w:rsidR="008C1F7A" w:rsidRPr="00301868">
        <w:rPr>
          <w:rFonts w:eastAsia="Calibri"/>
        </w:rPr>
        <w:t>Về công tác tuyên truyền, phổ biến chính sách, pháp luật về BHXH</w:t>
      </w:r>
      <w:bookmarkEnd w:id="52"/>
    </w:p>
    <w:p w14:paraId="245D02A7" w14:textId="77777777" w:rsidR="008C1F7A" w:rsidRPr="00301868" w:rsidRDefault="008C1F7A" w:rsidP="001875BF">
      <w:pPr>
        <w:rPr>
          <w:rFonts w:eastAsia="Calibri"/>
        </w:rPr>
      </w:pPr>
      <w:r w:rsidRPr="00301868">
        <w:rPr>
          <w:rFonts w:eastAsia="Calibri"/>
        </w:rPr>
        <w:t xml:space="preserve">- Chưa xác định đúng tầm quan trọng của công tác tuyên truyền, phổ biến và giáo dục pháp luật về bảo hiểm xã hội nên việc triển khai thực hiện chưa đồng bộ, đầu tư nguồn lực con người và tài chính cho công tác này chưa tương xứng với yêu cầu, nhiệm vụ trong khi hầu hết các địa phương đều báo cáo là đội ngũ tuyên truyền viên về BHXH của họ chưa được tập huấn bài bản về kiến thức và kỹ năng tuyên truyền và nguồn kinh phí dành cho công tác này hoàn toàn dựa vào nguồn ngân sách rất hạn hẹp của địa phương; </w:t>
      </w:r>
    </w:p>
    <w:p w14:paraId="4BAC0A05" w14:textId="7E645E33" w:rsidR="008C1F7A" w:rsidRPr="00301868" w:rsidRDefault="008C1F7A" w:rsidP="001875BF">
      <w:pPr>
        <w:rPr>
          <w:rFonts w:eastAsia="Calibri"/>
        </w:rPr>
      </w:pPr>
      <w:r w:rsidRPr="00301868">
        <w:rPr>
          <w:rFonts w:eastAsia="Calibri"/>
        </w:rPr>
        <w:t xml:space="preserve">- Đối tượng được tuyên truyền, phổ biến, giáo dục về pháp luật BHXH còn hạn hẹp, mới chỉ tập trung ở các khu đô thị, khu công nghiệp, các doanh nghiệp lớn và khu vực việc làm chính thức; còn rất hạn chế ở các khu vực nông thôn, vùng sâu, vùng xa, trong các doanh nghiệp vừa và nhỏ, đặc biệt ở các làng nghề và khu vực việc làm phi chính thức </w:t>
      </w:r>
      <w:r w:rsidR="00CB18DF" w:rsidRPr="00301868">
        <w:rPr>
          <w:rFonts w:eastAsia="Calibri"/>
        </w:rPr>
        <w:t>-</w:t>
      </w:r>
      <w:r w:rsidRPr="00301868">
        <w:rPr>
          <w:rFonts w:eastAsia="Calibri"/>
        </w:rPr>
        <w:t xml:space="preserve"> những nơi mà việc phát triển đối tượng rất cần được quan tâm. </w:t>
      </w:r>
    </w:p>
    <w:p w14:paraId="451B6B68" w14:textId="77777777" w:rsidR="001875BF" w:rsidRPr="00301868" w:rsidRDefault="001875BF" w:rsidP="001875BF">
      <w:pPr>
        <w:pStyle w:val="Heading3"/>
        <w:rPr>
          <w:rFonts w:eastAsia="Calibri"/>
        </w:rPr>
      </w:pPr>
      <w:bookmarkStart w:id="53" w:name="_Toc63186722"/>
      <w:r w:rsidRPr="00301868">
        <w:rPr>
          <w:rFonts w:eastAsia="Calibri"/>
        </w:rPr>
        <w:t xml:space="preserve">1.2. </w:t>
      </w:r>
      <w:r w:rsidR="008C1F7A" w:rsidRPr="00301868">
        <w:rPr>
          <w:rFonts w:eastAsia="Calibri"/>
        </w:rPr>
        <w:t>Về công tác phát triển đối tượng tham gia bảo hiểm xã hội</w:t>
      </w:r>
      <w:bookmarkEnd w:id="53"/>
    </w:p>
    <w:p w14:paraId="4102FD67" w14:textId="6B916D4F" w:rsidR="008C1F7A" w:rsidRPr="00301868" w:rsidRDefault="008C1F7A" w:rsidP="001875BF">
      <w:pPr>
        <w:rPr>
          <w:rFonts w:eastAsia="Calibri"/>
        </w:rPr>
      </w:pPr>
      <w:r w:rsidRPr="00301868">
        <w:rPr>
          <w:rFonts w:eastAsia="Calibri"/>
        </w:rPr>
        <w:t xml:space="preserve">- Điều kiện 20 năm đóng BHXH để được hưởng chế độ hưu trí hàng tháng là quá dài không phù hợp với khả năng tạo và duy trì việc làm cho người lao động của nền kinh tế. </w:t>
      </w:r>
    </w:p>
    <w:p w14:paraId="2A3DE0AF" w14:textId="77777777" w:rsidR="008C1F7A" w:rsidRPr="00301868" w:rsidRDefault="008C1F7A" w:rsidP="001875BF">
      <w:pPr>
        <w:rPr>
          <w:rFonts w:eastAsia="Calibri"/>
        </w:rPr>
      </w:pPr>
      <w:r w:rsidRPr="00301868">
        <w:rPr>
          <w:rFonts w:eastAsia="Calibri"/>
        </w:rPr>
        <w:t xml:space="preserve">- Những đối tượng được Luật BHXH 2014 bổ sung điều chỉnh là những nhóm luôn biến động, không dễ quản lý. Mức độ phát triển đối tượng tham gia BHXH bắt buộc phụ thuộc rất lớn vào sự tham gia của những người sử dụng lao động. Tuy nhiên, tỷ trọng doanh nghiệp siêu nhỏ, nhỏ và vừa (DNNVV) lớn và Luật BHXH 2014 chưa điều chỉnh đối với những nhóm đối tượng có khả năng đóng góp để tham gia BHXH bắt buộc, bao gồm: (i) chủ hộ kinh doanh cá thể; (ii) người quản lý doanh nghiệp, người quản lý điều hành hợp tác xã không hưởng tiền lương và (iii) những người tham gia trong nền kinh tế chia sẻ phát sinh các quan hệ lao động mới không có hợp đồng lao động (Grab) khiến công tác này gặp nhiều khó khăn. </w:t>
      </w:r>
    </w:p>
    <w:p w14:paraId="3D354544" w14:textId="02BBFF97" w:rsidR="008C1F7A" w:rsidRPr="00301868" w:rsidRDefault="008C1F7A" w:rsidP="001875BF">
      <w:pPr>
        <w:rPr>
          <w:rFonts w:eastAsia="Calibri"/>
        </w:rPr>
      </w:pPr>
      <w:r w:rsidRPr="00301868">
        <w:rPr>
          <w:rFonts w:eastAsia="Calibri"/>
        </w:rPr>
        <w:lastRenderedPageBreak/>
        <w:t xml:space="preserve">- Sự khác biệt lớn trong thụ hưởng các chế độ giữa BHXH bắt buộc và BHXH tự nguyện. Trong khi các rủi ro trước mắt về mất thu nhập như ốm đau, thai sản, nuôi con nhỏ </w:t>
      </w:r>
      <w:r w:rsidR="00CB18DF" w:rsidRPr="00301868">
        <w:rPr>
          <w:rFonts w:eastAsia="Calibri"/>
        </w:rPr>
        <w:t>-</w:t>
      </w:r>
      <w:r w:rsidRPr="00301868">
        <w:rPr>
          <w:rFonts w:eastAsia="Calibri"/>
        </w:rPr>
        <w:t xml:space="preserve"> ảnh hưởng trực tiếp đến đời sống cá nhân </w:t>
      </w:r>
      <w:r w:rsidR="00CB18DF" w:rsidRPr="00301868">
        <w:rPr>
          <w:rFonts w:eastAsia="Calibri"/>
        </w:rPr>
        <w:t>-</w:t>
      </w:r>
      <w:r w:rsidRPr="00301868">
        <w:rPr>
          <w:rFonts w:eastAsia="Calibri"/>
        </w:rPr>
        <w:t xml:space="preserve"> không được bảo hiểm, lại phải đóng góp và chờ đợi quá lâu để hưởng chế độ hưu trí và tử tuất. Vì vậy, mặc dù Nhà nước đã có chính sách hỗ trợ đóng BHXH đối với người tham gia tự nguyện</w:t>
      </w:r>
      <w:r w:rsidRPr="00301868">
        <w:rPr>
          <w:rFonts w:eastAsia="Calibri"/>
          <w:b/>
        </w:rPr>
        <w:t xml:space="preserve"> </w:t>
      </w:r>
      <w:r w:rsidRPr="00301868">
        <w:rPr>
          <w:rFonts w:eastAsia="Calibri"/>
        </w:rPr>
        <w:t>nhưng vẫn chưa có tác động lớn đến sự tham gia của người dân.</w:t>
      </w:r>
    </w:p>
    <w:p w14:paraId="3DDCDCDB" w14:textId="77777777" w:rsidR="008C1F7A" w:rsidRPr="00301868" w:rsidRDefault="008C1F7A" w:rsidP="001875BF">
      <w:pPr>
        <w:rPr>
          <w:rFonts w:eastAsia="Calibri"/>
        </w:rPr>
      </w:pPr>
      <w:r w:rsidRPr="00301868">
        <w:rPr>
          <w:rFonts w:eastAsia="Calibri"/>
        </w:rPr>
        <w:t>- Thiếu cơ chế phối hợp giữa cơ quan thuế và cơ quan BHXH trong giám sát công tác phát triển đối tượng tham gia bảo hiểm xã hội bắt buộc thông qua việc chia sẻ số liệu về quyết toán thuế của các doanh nghiệp nhằm đảm bảo không có sự chênh lệc giữa số lượng lao động mà doanh nghiệp thực tế sử dụng và số lượng lao động thực hiện quyết toán thuế.</w:t>
      </w:r>
    </w:p>
    <w:p w14:paraId="05B94370" w14:textId="0A5F0485" w:rsidR="008C1F7A" w:rsidRPr="00301868" w:rsidRDefault="001875BF" w:rsidP="001875BF">
      <w:pPr>
        <w:pStyle w:val="Heading3"/>
        <w:rPr>
          <w:rFonts w:eastAsia="Calibri"/>
        </w:rPr>
      </w:pPr>
      <w:bookmarkStart w:id="54" w:name="_Toc63186723"/>
      <w:r w:rsidRPr="00301868">
        <w:rPr>
          <w:rFonts w:eastAsia="Calibri"/>
        </w:rPr>
        <w:t xml:space="preserve">1.3. </w:t>
      </w:r>
      <w:r w:rsidR="008C1F7A" w:rsidRPr="00301868">
        <w:rPr>
          <w:rFonts w:eastAsia="Calibri"/>
        </w:rPr>
        <w:t>Về công tác thu bảo hiểm xã hội</w:t>
      </w:r>
      <w:bookmarkEnd w:id="54"/>
    </w:p>
    <w:p w14:paraId="1945AB1A" w14:textId="6776275A" w:rsidR="008C1F7A" w:rsidRPr="00301868" w:rsidRDefault="008C1F7A" w:rsidP="001875BF">
      <w:pPr>
        <w:rPr>
          <w:rFonts w:eastAsia="Calibri"/>
        </w:rPr>
      </w:pPr>
      <w:r w:rsidRPr="00301868">
        <w:rPr>
          <w:rFonts w:eastAsia="Calibri"/>
        </w:rPr>
        <w:t xml:space="preserve">- Tình trạng nợ BHXH diễn ra khá phức tạp trong khi các thủ tục xử lý vấn đề nợ đọng BHXH còn nhiều bất cập, ví dụ mặc dù đã có Thông tư liên tịch số 03/2008/TTLT-LĐTBXH-BTC-NHNN ngày 18 tháng 2 năm 2008 của Bộ Lao động </w:t>
      </w:r>
      <w:r w:rsidR="00CB18DF" w:rsidRPr="00301868">
        <w:rPr>
          <w:rFonts w:eastAsia="Calibri"/>
        </w:rPr>
        <w:t>-</w:t>
      </w:r>
      <w:r w:rsidRPr="00301868">
        <w:rPr>
          <w:rFonts w:eastAsia="Calibri"/>
        </w:rPr>
        <w:t xml:space="preserve"> Thương binh và Xã hội, Bộ Tài chính và Ngân hàng Nhà nước, nhưng các ngân hàng vẫn chưa thực hiện việc trích tiền từ tài khoản của doanh nghiệp nợ BHXH chuyển cho cơ quan BHXH.  </w:t>
      </w:r>
    </w:p>
    <w:p w14:paraId="44D0525A" w14:textId="77777777" w:rsidR="008C1F7A" w:rsidRPr="00301868" w:rsidRDefault="008C1F7A" w:rsidP="001875BF">
      <w:pPr>
        <w:rPr>
          <w:rFonts w:eastAsia="Calibri"/>
        </w:rPr>
      </w:pPr>
      <w:r w:rsidRPr="00301868">
        <w:rPr>
          <w:rFonts w:eastAsia="Calibri"/>
        </w:rPr>
        <w:t>- Quyền khởi kiện của các tổ chức công đoàn ra Tòa án đối với hành vi vi phạm pháp luật về BHXH gặp nhiều hạn chế do những bất cập trong quy trình tố tụng.</w:t>
      </w:r>
    </w:p>
    <w:p w14:paraId="5E9C78EC" w14:textId="7B0E34FD" w:rsidR="008C1F7A" w:rsidRPr="00301868" w:rsidRDefault="001875BF" w:rsidP="001875BF">
      <w:pPr>
        <w:pStyle w:val="Heading3"/>
        <w:rPr>
          <w:rFonts w:eastAsia="Calibri"/>
        </w:rPr>
      </w:pPr>
      <w:bookmarkStart w:id="55" w:name="_Toc63186724"/>
      <w:r w:rsidRPr="00301868">
        <w:rPr>
          <w:rFonts w:eastAsia="Calibri"/>
        </w:rPr>
        <w:t xml:space="preserve">1.4. </w:t>
      </w:r>
      <w:r w:rsidR="008C1F7A" w:rsidRPr="00301868">
        <w:rPr>
          <w:rFonts w:eastAsia="Calibri"/>
        </w:rPr>
        <w:t>Về công tác giải quyết và chi trả chế độ bảo hiểm xã hội</w:t>
      </w:r>
      <w:bookmarkEnd w:id="55"/>
    </w:p>
    <w:p w14:paraId="7C792715" w14:textId="77777777" w:rsidR="008C1F7A" w:rsidRPr="00301868" w:rsidRDefault="008C1F7A" w:rsidP="001875BF">
      <w:pPr>
        <w:rPr>
          <w:rFonts w:eastAsia="Calibri"/>
        </w:rPr>
      </w:pPr>
      <w:r w:rsidRPr="00301868">
        <w:rPr>
          <w:rFonts w:eastAsia="Calibri"/>
        </w:rPr>
        <w:t xml:space="preserve">- Tình hình trục lợi các chế độ bảo hiểm xã hội đã và vẫn tiếp tục là một thách thức đối với cơ quan BHXH các cấp và xảy ra dưới nhiều hình thức tinh vi, phức tạp. </w:t>
      </w:r>
    </w:p>
    <w:p w14:paraId="1CF9BB8A" w14:textId="77777777" w:rsidR="008C1F7A" w:rsidRPr="00301868" w:rsidRDefault="008C1F7A" w:rsidP="001875BF">
      <w:pPr>
        <w:rPr>
          <w:rFonts w:eastAsia="Calibri"/>
        </w:rPr>
      </w:pPr>
      <w:r w:rsidRPr="00301868">
        <w:rPr>
          <w:rFonts w:eastAsia="Calibri"/>
        </w:rPr>
        <w:t xml:space="preserve">- Tỷ lệ chi trả chế độ hưu trí và trợ cấp BHXH hàng tháng qua tài khoản ngân hàng vẫn còn thấp. Việc chi trả các chế độ ngắn hạn chủ yếu vẫn được thực hiện thông qua người sử dụng lao động. Điều này dẫn đến việc thanh quyết toán quỹ BHXH hàng năm chậm, gây lãng phí cho công tác quản lý do khối lượng hồ sơ giấy tờ lớn.     </w:t>
      </w:r>
    </w:p>
    <w:p w14:paraId="12063D3B" w14:textId="77520158" w:rsidR="008C1F7A" w:rsidRPr="00301868" w:rsidRDefault="001875BF" w:rsidP="001875BF">
      <w:pPr>
        <w:pStyle w:val="Heading3"/>
        <w:rPr>
          <w:rFonts w:eastAsia="Calibri"/>
        </w:rPr>
      </w:pPr>
      <w:bookmarkStart w:id="56" w:name="_Toc63186725"/>
      <w:r w:rsidRPr="00301868">
        <w:rPr>
          <w:rFonts w:eastAsia="Calibri"/>
        </w:rPr>
        <w:t xml:space="preserve">1.5. </w:t>
      </w:r>
      <w:r w:rsidR="008C1F7A" w:rsidRPr="00301868">
        <w:rPr>
          <w:rFonts w:eastAsia="Calibri"/>
        </w:rPr>
        <w:t>Về công tác thanh tra và kiểm tra việc thực hiện pháp luật về BHXH</w:t>
      </w:r>
      <w:bookmarkEnd w:id="56"/>
    </w:p>
    <w:p w14:paraId="6A5698D7" w14:textId="77777777" w:rsidR="008C1F7A" w:rsidRPr="00301868" w:rsidRDefault="008C1F7A" w:rsidP="001875BF">
      <w:pPr>
        <w:rPr>
          <w:rFonts w:eastAsia="Calibri"/>
        </w:rPr>
      </w:pPr>
      <w:r w:rsidRPr="00301868">
        <w:rPr>
          <w:rFonts w:eastAsia="Calibri"/>
        </w:rPr>
        <w:t xml:space="preserve">Tính cưỡng chế sau thanh tra của ngành LĐ-TBXH nói chung và chuyên ngành về đóng BHXH nói riêng còn thấp. Tình trạng vi phạm pháp luật về trốn đóng BHXH, BHYT bắt buộc sau thanh tra, kiểm tra chưa được khắc phục triệt để. Tình trạng doanh nghiệp sau khi thanh tra có kết luận và đã ban hành quyết định xử phạt vi phạm hành chính, nhưng doanh nghiệp cố tình không chấp hành, </w:t>
      </w:r>
      <w:r w:rsidRPr="00301868">
        <w:rPr>
          <w:rFonts w:eastAsia="Calibri"/>
        </w:rPr>
        <w:lastRenderedPageBreak/>
        <w:t>kể cả không nộp tiền xử phạt vi phạm hành chính vào ngân sách nhà nước dẫn đến tình trạng “nhờn luật”. Năm 2018, tỷ lệ chấp hành hình phạt sau thanh tra, kiểm tra chuyên ngành về đóng bảo hiểm xã hội chỉ đạt dưới 30%.</w:t>
      </w:r>
    </w:p>
    <w:p w14:paraId="00F22794" w14:textId="4F51C28C" w:rsidR="008C1F7A" w:rsidRPr="00301868" w:rsidRDefault="001875BF" w:rsidP="001875BF">
      <w:pPr>
        <w:pStyle w:val="Heading3"/>
        <w:rPr>
          <w:rFonts w:eastAsia="Calibri"/>
        </w:rPr>
      </w:pPr>
      <w:bookmarkStart w:id="57" w:name="_Toc63186726"/>
      <w:r w:rsidRPr="00301868">
        <w:rPr>
          <w:rFonts w:eastAsia="Calibri"/>
        </w:rPr>
        <w:t xml:space="preserve">1.6. </w:t>
      </w:r>
      <w:r w:rsidR="008C1F7A" w:rsidRPr="00301868">
        <w:rPr>
          <w:rFonts w:eastAsia="Calibri"/>
        </w:rPr>
        <w:t>Về công tác đầu tư và đánh giá tài chính Quỹ bảo hiểm xã hội</w:t>
      </w:r>
      <w:bookmarkEnd w:id="57"/>
    </w:p>
    <w:p w14:paraId="4335CB22" w14:textId="77777777" w:rsidR="008C1F7A" w:rsidRPr="00301868" w:rsidRDefault="008C1F7A" w:rsidP="001875BF">
      <w:pPr>
        <w:rPr>
          <w:rFonts w:eastAsia="Calibri"/>
        </w:rPr>
      </w:pPr>
      <w:r w:rsidRPr="00301868">
        <w:rPr>
          <w:rFonts w:eastAsia="Calibri"/>
        </w:rPr>
        <w:t xml:space="preserve">- Thiếu các tiêu chí để đánh giá tình trạng của ngân hàng “có chất lương hoạt động tốt theo xếp loại tín nhiệm của Ngân hàng Nhà nước Việt Nam”; </w:t>
      </w:r>
    </w:p>
    <w:p w14:paraId="0E245982" w14:textId="77777777" w:rsidR="008C1F7A" w:rsidRPr="00301868" w:rsidRDefault="008C1F7A" w:rsidP="001875BF">
      <w:pPr>
        <w:rPr>
          <w:rFonts w:eastAsia="Calibri"/>
        </w:rPr>
      </w:pPr>
      <w:r w:rsidRPr="00301868">
        <w:rPr>
          <w:rFonts w:eastAsia="Calibri"/>
        </w:rPr>
        <w:t xml:space="preserve">- Danh mục đầu tư quỹ BHXH chưa đa dạng dẫn đến hoạt động đầu tư quỹ BHXH tuy được đánh giá an toàn nhưng hiệu quả đầu tư chưa cao; </w:t>
      </w:r>
    </w:p>
    <w:p w14:paraId="137E3DFC" w14:textId="77777777" w:rsidR="008C1F7A" w:rsidRPr="00301868" w:rsidRDefault="008C1F7A" w:rsidP="001875BF">
      <w:pPr>
        <w:rPr>
          <w:rFonts w:eastAsia="Calibri"/>
        </w:rPr>
      </w:pPr>
      <w:r w:rsidRPr="00301868">
        <w:rPr>
          <w:rFonts w:eastAsia="Calibri"/>
        </w:rPr>
        <w:t>- Quy định về đầu tư quỹ BHXH vào trái phiếu Chính phủ thiếu linh hoạt làm hạn chế vai trò của BHXH Việt Nam trong việc tham gia tích cực vào thị trường trái phiếu Chính phủ.</w:t>
      </w:r>
    </w:p>
    <w:p w14:paraId="7D3F82D7" w14:textId="7F900948" w:rsidR="008C1F7A" w:rsidRPr="00301868" w:rsidRDefault="001875BF" w:rsidP="00D77DAB">
      <w:pPr>
        <w:pStyle w:val="Heading3"/>
        <w:rPr>
          <w:rFonts w:eastAsia="Calibri"/>
        </w:rPr>
      </w:pPr>
      <w:bookmarkStart w:id="58" w:name="_Toc63186727"/>
      <w:r w:rsidRPr="00301868">
        <w:rPr>
          <w:rFonts w:eastAsia="Calibri"/>
        </w:rPr>
        <w:t xml:space="preserve">1.7. </w:t>
      </w:r>
      <w:r w:rsidR="008C1F7A" w:rsidRPr="00301868">
        <w:rPr>
          <w:rFonts w:eastAsia="Calibri"/>
        </w:rPr>
        <w:t>Về giải quyết khiếu nại, tố cáo về bảo hiểm xã hội</w:t>
      </w:r>
      <w:bookmarkEnd w:id="58"/>
    </w:p>
    <w:p w14:paraId="695F4A6D" w14:textId="77777777" w:rsidR="008C1F7A" w:rsidRPr="00301868" w:rsidRDefault="008C1F7A" w:rsidP="001875BF">
      <w:pPr>
        <w:rPr>
          <w:rFonts w:eastAsia="Calibri"/>
        </w:rPr>
      </w:pPr>
      <w:r w:rsidRPr="00301868">
        <w:rPr>
          <w:rFonts w:eastAsia="Calibri"/>
        </w:rPr>
        <w:t xml:space="preserve">- Việc mất mát và lưu giữ không đầy đủ hồ sơ giấy tờ liên quan đến quyền hưởng chế độ bảo hiểm xã hội của người lao động trong một thời gian dài, đặc biệt đối với chế độ hưu trí.   </w:t>
      </w:r>
    </w:p>
    <w:p w14:paraId="1813059C" w14:textId="77777777" w:rsidR="008C1F7A" w:rsidRPr="00301868" w:rsidRDefault="008C1F7A" w:rsidP="001875BF">
      <w:pPr>
        <w:rPr>
          <w:rFonts w:eastAsia="Calibri"/>
        </w:rPr>
      </w:pPr>
      <w:r w:rsidRPr="00301868">
        <w:rPr>
          <w:rFonts w:eastAsia="Calibri"/>
        </w:rPr>
        <w:t xml:space="preserve">- Thiếu tính đồng bộ giữa các văn bản quy phạm pháp luật trong xử lý vi phạm pháp luật về bảo hiểm xã hội, điển hình là mặc dù có quyền khởi kiện ra Toàn án đối với hành vi vi phạm pháp luật về bảo hiểm xã hội nhưng các tổ chức công đoàn rất khó thực hiện quyền này trong thực tiễn.  </w:t>
      </w:r>
    </w:p>
    <w:p w14:paraId="7E7DD7B5" w14:textId="0BB021DC" w:rsidR="008C1F7A" w:rsidRPr="00301868" w:rsidRDefault="001875BF" w:rsidP="001875BF">
      <w:pPr>
        <w:pStyle w:val="Heading3"/>
        <w:rPr>
          <w:rFonts w:eastAsia="Calibri"/>
        </w:rPr>
      </w:pPr>
      <w:bookmarkStart w:id="59" w:name="_Toc63186728"/>
      <w:r w:rsidRPr="00301868">
        <w:rPr>
          <w:rFonts w:eastAsia="Calibri"/>
        </w:rPr>
        <w:t xml:space="preserve">1.8. </w:t>
      </w:r>
      <w:r w:rsidR="008C1F7A" w:rsidRPr="00301868">
        <w:rPr>
          <w:rFonts w:eastAsia="Calibri"/>
        </w:rPr>
        <w:t>Về Công tác hiện đại hóa quản lý bảo hiểm xã hội</w:t>
      </w:r>
      <w:bookmarkEnd w:id="59"/>
      <w:r w:rsidR="008C1F7A" w:rsidRPr="00301868">
        <w:rPr>
          <w:rFonts w:eastAsia="Calibri"/>
        </w:rPr>
        <w:t xml:space="preserve"> </w:t>
      </w:r>
    </w:p>
    <w:p w14:paraId="0D079047" w14:textId="77777777" w:rsidR="008C1F7A" w:rsidRPr="00301868" w:rsidRDefault="008C1F7A" w:rsidP="001875BF">
      <w:pPr>
        <w:rPr>
          <w:rFonts w:eastAsia="Calibri"/>
        </w:rPr>
      </w:pPr>
      <w:r w:rsidRPr="00301868">
        <w:rPr>
          <w:rFonts w:eastAsia="Calibri"/>
        </w:rPr>
        <w:t>Tuy nhiên, việc kết nối hệ thống thông tin điện tử về BHXH chưa có sự liên thông, kết nối với 6 cơ sở dữ liệu quốc gia như cấp phép doanh nghiệp</w:t>
      </w:r>
      <w:r w:rsidRPr="00301868">
        <w:rPr>
          <w:bCs/>
          <w:color w:val="000000"/>
          <w:shd w:val="clear" w:color="auto" w:fill="FFFFFF"/>
          <w:vertAlign w:val="superscript"/>
          <w:lang w:val="sv-SE"/>
        </w:rPr>
        <w:footnoteReference w:id="19"/>
      </w:r>
      <w:r w:rsidRPr="00301868">
        <w:rPr>
          <w:bCs/>
          <w:color w:val="000000"/>
          <w:shd w:val="clear" w:color="auto" w:fill="FFFFFF"/>
          <w:lang w:val="sv-SE"/>
        </w:rPr>
        <w:t xml:space="preserve">, </w:t>
      </w:r>
      <w:r w:rsidRPr="00301868">
        <w:rPr>
          <w:rFonts w:eastAsia="Calibri"/>
        </w:rPr>
        <w:t xml:space="preserve">quản lý lao động, quản lý thuế dẫn đến công tác xác định, quản lý đối tượng thuộc diện tham gia BHXH còn nhiều hạn chế. </w:t>
      </w:r>
    </w:p>
    <w:p w14:paraId="29517886" w14:textId="0A3A59E2" w:rsidR="008C1F7A" w:rsidRPr="00301868" w:rsidRDefault="001875BF" w:rsidP="001875BF">
      <w:pPr>
        <w:pStyle w:val="Heading3"/>
        <w:rPr>
          <w:rFonts w:eastAsia="Calibri"/>
        </w:rPr>
      </w:pPr>
      <w:bookmarkStart w:id="60" w:name="_Toc63186729"/>
      <w:r w:rsidRPr="00301868">
        <w:rPr>
          <w:rFonts w:eastAsia="Calibri"/>
        </w:rPr>
        <w:t xml:space="preserve">1.9. </w:t>
      </w:r>
      <w:r w:rsidR="008C1F7A" w:rsidRPr="00301868">
        <w:rPr>
          <w:rFonts w:eastAsia="Calibri"/>
        </w:rPr>
        <w:t>Về công tác thống kê, kế toán tài chính về bảo hiểm xã hội</w:t>
      </w:r>
      <w:bookmarkEnd w:id="60"/>
      <w:r w:rsidR="008C1F7A" w:rsidRPr="00301868">
        <w:rPr>
          <w:rFonts w:eastAsia="Calibri"/>
        </w:rPr>
        <w:t xml:space="preserve"> </w:t>
      </w:r>
    </w:p>
    <w:p w14:paraId="77C6B050" w14:textId="77777777" w:rsidR="008C1F7A" w:rsidRPr="00301868" w:rsidRDefault="008C1F7A" w:rsidP="001875BF">
      <w:pPr>
        <w:rPr>
          <w:rFonts w:eastAsia="Calibri"/>
        </w:rPr>
      </w:pPr>
      <w:r w:rsidRPr="00301868">
        <w:rPr>
          <w:rFonts w:eastAsia="Calibri"/>
        </w:rPr>
        <w:t xml:space="preserve">Việc cung cấp và chia sẻ số liệu để phục vụ công tác xây dựng chính sách, pháp luật vẫn còn nhiều hạn chế. </w:t>
      </w:r>
    </w:p>
    <w:p w14:paraId="333620A0" w14:textId="77777777" w:rsidR="008C1F7A" w:rsidRPr="00301868" w:rsidRDefault="008C1F7A" w:rsidP="001875BF">
      <w:pPr>
        <w:pStyle w:val="Heading2"/>
        <w:rPr>
          <w:rFonts w:eastAsia="Calibri"/>
        </w:rPr>
      </w:pPr>
      <w:bookmarkStart w:id="61" w:name="_Toc63186730"/>
      <w:r w:rsidRPr="00301868">
        <w:rPr>
          <w:rFonts w:eastAsia="Calibri"/>
        </w:rPr>
        <w:t>II. NHỮNG  VẤN ĐỀ CẦN ĐIỀU CHỈNH</w:t>
      </w:r>
      <w:bookmarkEnd w:id="61"/>
    </w:p>
    <w:p w14:paraId="76F2DFB5" w14:textId="7066E7D6" w:rsidR="008C1F7A" w:rsidRPr="00301868" w:rsidRDefault="001875BF" w:rsidP="001875BF">
      <w:pPr>
        <w:pStyle w:val="Heading3"/>
        <w:rPr>
          <w:rFonts w:eastAsia="Calibri"/>
        </w:rPr>
      </w:pPr>
      <w:bookmarkStart w:id="62" w:name="_Toc63186731"/>
      <w:r w:rsidRPr="00301868">
        <w:rPr>
          <w:rFonts w:eastAsia="Calibri"/>
        </w:rPr>
        <w:t xml:space="preserve">2.1. </w:t>
      </w:r>
      <w:r w:rsidR="008C1F7A" w:rsidRPr="00301868">
        <w:rPr>
          <w:rFonts w:eastAsia="Calibri"/>
        </w:rPr>
        <w:t>Về tuyên truyền, phổ biến hiệu quả chính sách, pháp luật về BHXH</w:t>
      </w:r>
      <w:bookmarkEnd w:id="62"/>
      <w:r w:rsidR="008C1F7A" w:rsidRPr="00301868">
        <w:rPr>
          <w:rFonts w:eastAsia="Calibri"/>
        </w:rPr>
        <w:t xml:space="preserve"> </w:t>
      </w:r>
    </w:p>
    <w:p w14:paraId="7DC1F011" w14:textId="77777777" w:rsidR="008C1F7A" w:rsidRPr="00301868" w:rsidRDefault="008C1F7A" w:rsidP="001875BF">
      <w:pPr>
        <w:rPr>
          <w:rFonts w:eastAsia="Calibri"/>
        </w:rPr>
      </w:pPr>
      <w:r w:rsidRPr="00301868">
        <w:rPr>
          <w:rFonts w:eastAsia="Calibri"/>
        </w:rPr>
        <w:t xml:space="preserve">- Làm rõ vai trò chủ chốt của BHXH VN trong công tác tuyên truyền, phổ biến chính sách, pháp luật về BHXH để hỗ trợ cơ quan quản lý Nhà nước về bảo hiểm xã hội trong việc tạo được sự đồng thuận lớn trong xã hội khi có những </w:t>
      </w:r>
      <w:r w:rsidRPr="00301868">
        <w:rPr>
          <w:rFonts w:eastAsia="Calibri"/>
        </w:rPr>
        <w:lastRenderedPageBreak/>
        <w:t>điều chỉnh và sửa đổi chính sách về bảo hiểm xã hội trong những năm sắp tới, cũng như nâng cao nhận thức của người dân và các bên liên quan về trách nhiệm và nghĩa vụ tham gia BHXH.</w:t>
      </w:r>
    </w:p>
    <w:p w14:paraId="383B5B5D" w14:textId="77777777" w:rsidR="008C1F7A" w:rsidRPr="00301868" w:rsidRDefault="008C1F7A" w:rsidP="001875BF">
      <w:pPr>
        <w:rPr>
          <w:rFonts w:eastAsia="Calibri"/>
        </w:rPr>
      </w:pPr>
      <w:r w:rsidRPr="00301868">
        <w:rPr>
          <w:rFonts w:eastAsia="Calibri"/>
        </w:rPr>
        <w:t xml:space="preserve">- Tăng cường số lượng và nâng cao chất lượng của đội ngũ cán bộ làm công tác tuyên truyền, phổ biến pháo luật về BHXH thông qua việc hình thành một bộ phận (Ban hoặc Phòng) riêng chịu trách nhiệm về quan hệ công chúng/chăm sóc khách hàng mà các công ty/doanh nghiệp bảo hiểm thương mại đều có. </w:t>
      </w:r>
    </w:p>
    <w:p w14:paraId="4CBE5571" w14:textId="199C1A0E" w:rsidR="008C1F7A" w:rsidRPr="00301868" w:rsidRDefault="001875BF" w:rsidP="001875BF">
      <w:pPr>
        <w:pStyle w:val="Heading3"/>
        <w:rPr>
          <w:rFonts w:eastAsia="Calibri"/>
        </w:rPr>
      </w:pPr>
      <w:bookmarkStart w:id="63" w:name="_Toc63186732"/>
      <w:r w:rsidRPr="00301868">
        <w:rPr>
          <w:rFonts w:eastAsia="Calibri"/>
        </w:rPr>
        <w:t>2.2. V</w:t>
      </w:r>
      <w:r w:rsidR="008C1F7A" w:rsidRPr="00301868">
        <w:rPr>
          <w:rFonts w:eastAsia="Calibri"/>
        </w:rPr>
        <w:t>ề công tác phát triển hiệu quả đối tượng tham gia bảo hiểm xã hội</w:t>
      </w:r>
      <w:bookmarkEnd w:id="63"/>
      <w:r w:rsidR="008C1F7A" w:rsidRPr="00301868">
        <w:rPr>
          <w:rFonts w:eastAsia="Calibri"/>
        </w:rPr>
        <w:t xml:space="preserve"> </w:t>
      </w:r>
    </w:p>
    <w:p w14:paraId="12413D3C" w14:textId="77777777" w:rsidR="008C1F7A" w:rsidRPr="00301868" w:rsidRDefault="008C1F7A" w:rsidP="001875BF">
      <w:pPr>
        <w:rPr>
          <w:rFonts w:eastAsia="Calibri"/>
        </w:rPr>
      </w:pPr>
      <w:r w:rsidRPr="00301868">
        <w:rPr>
          <w:rFonts w:eastAsia="Calibri"/>
        </w:rPr>
        <w:t xml:space="preserve">- Điều chỉnh điều kiện về thời gian đóng BHXH để hưởng chế độ hưu trí là 10 năm hoặc 15 năm. </w:t>
      </w:r>
    </w:p>
    <w:p w14:paraId="2F0D03BF" w14:textId="77777777" w:rsidR="008C1F7A" w:rsidRPr="00301868" w:rsidRDefault="008C1F7A" w:rsidP="001875BF">
      <w:pPr>
        <w:rPr>
          <w:rFonts w:eastAsia="Calibri"/>
        </w:rPr>
      </w:pPr>
      <w:r w:rsidRPr="00301868">
        <w:rPr>
          <w:rFonts w:eastAsia="Calibri"/>
        </w:rPr>
        <w:t>- Đưa những nhóm (i) chủ hộ kinh doanh cá thể; (ii) người quản lý doanh nghiệp, người quản lý điều hành hợp tác xã không hưởng tiền lương và (iii) những người tham gia trong nền kinh tế chia sẻ phát sinh các quan hệ lao động mới không có hợp đồng lao động (Grab) vào đối tượng tham gia BHXH bắt buộc.</w:t>
      </w:r>
    </w:p>
    <w:p w14:paraId="68462CDD" w14:textId="77777777" w:rsidR="008C1F7A" w:rsidRPr="00301868" w:rsidRDefault="008C1F7A" w:rsidP="001875BF">
      <w:pPr>
        <w:rPr>
          <w:rFonts w:eastAsia="Calibri"/>
        </w:rPr>
      </w:pPr>
      <w:r w:rsidRPr="00301868">
        <w:rPr>
          <w:rFonts w:eastAsia="Calibri"/>
        </w:rPr>
        <w:t>- Xem xét kết hợp hỗ trợ đóng bảo hiểm xã hội tự nguyện với mở rộng các chế độ thai sản, nuôi con nhỏ trong BHXH tự nguyện.</w:t>
      </w:r>
    </w:p>
    <w:p w14:paraId="531D13C6" w14:textId="77777777" w:rsidR="008C1F7A" w:rsidRPr="00301868" w:rsidRDefault="008C1F7A" w:rsidP="001875BF">
      <w:pPr>
        <w:rPr>
          <w:rFonts w:eastAsia="Calibri"/>
        </w:rPr>
      </w:pPr>
      <w:r w:rsidRPr="00301868">
        <w:rPr>
          <w:rFonts w:eastAsia="Calibri"/>
        </w:rPr>
        <w:t xml:space="preserve">- Gắn kết chặt chẽ các chính sách bảo hiểm xã hội với chính sách hỗ trợ doanh nghiệp nhỏ và vừa để có thể duy trì khả năng và năng lực đóng bảo hiểm xã hội cho người lao động của họ. </w:t>
      </w:r>
    </w:p>
    <w:p w14:paraId="3038479A" w14:textId="77777777" w:rsidR="008C1F7A" w:rsidRPr="00301868" w:rsidRDefault="008C1F7A" w:rsidP="001875BF">
      <w:pPr>
        <w:rPr>
          <w:rFonts w:eastAsia="Calibri"/>
        </w:rPr>
      </w:pPr>
      <w:r w:rsidRPr="00301868">
        <w:rPr>
          <w:rFonts w:eastAsia="Calibri"/>
        </w:rPr>
        <w:t>- Thể chế hóa cơ chế phối hợp giữa cơ quan thuế và cơ quan BHXH trong giám sát công tác phát triển đối tượng tham gia bảo hiểm xã hội.</w:t>
      </w:r>
    </w:p>
    <w:p w14:paraId="2A1875B3" w14:textId="617529A9" w:rsidR="008C1F7A" w:rsidRPr="00301868" w:rsidRDefault="001875BF" w:rsidP="001875BF">
      <w:pPr>
        <w:pStyle w:val="Heading3"/>
        <w:rPr>
          <w:rFonts w:eastAsia="Calibri"/>
        </w:rPr>
      </w:pPr>
      <w:bookmarkStart w:id="64" w:name="_Toc63186733"/>
      <w:r w:rsidRPr="00301868">
        <w:rPr>
          <w:rFonts w:eastAsia="Calibri"/>
        </w:rPr>
        <w:t xml:space="preserve">2.3. </w:t>
      </w:r>
      <w:r w:rsidR="008C1F7A" w:rsidRPr="00301868">
        <w:rPr>
          <w:rFonts w:eastAsia="Calibri"/>
        </w:rPr>
        <w:t>Về công tác thu bảo hiểm xã hội</w:t>
      </w:r>
      <w:bookmarkEnd w:id="64"/>
      <w:r w:rsidR="008C1F7A" w:rsidRPr="00301868">
        <w:rPr>
          <w:rFonts w:eastAsia="Calibri"/>
        </w:rPr>
        <w:t xml:space="preserve"> </w:t>
      </w:r>
    </w:p>
    <w:p w14:paraId="3F1C98B4" w14:textId="77777777" w:rsidR="008C1F7A" w:rsidRPr="00301868" w:rsidRDefault="008C1F7A" w:rsidP="001875BF">
      <w:pPr>
        <w:rPr>
          <w:rFonts w:eastAsia="Calibri"/>
        </w:rPr>
      </w:pPr>
      <w:r w:rsidRPr="00301868">
        <w:rPr>
          <w:rFonts w:eastAsia="Calibri"/>
        </w:rPr>
        <w:t xml:space="preserve">- Quy định rõ trách nhiệm của cơ quan BHXH và của người sử dụng lao động trong cập nhật hàng quý thông tin đóng BHXH cho người lao động. </w:t>
      </w:r>
    </w:p>
    <w:p w14:paraId="75A1500C" w14:textId="77777777" w:rsidR="008C1F7A" w:rsidRPr="00301868" w:rsidRDefault="008C1F7A" w:rsidP="001875BF">
      <w:pPr>
        <w:rPr>
          <w:rFonts w:eastAsia="Calibri"/>
        </w:rPr>
      </w:pPr>
      <w:r w:rsidRPr="00301868">
        <w:rPr>
          <w:rFonts w:eastAsia="Calibri"/>
        </w:rPr>
        <w:t xml:space="preserve">- Quy định rõ các thủ tục và trách nhiệm của các cơ quan có liên quan trong xử lý vấn đề nợ đọng BHXH.  </w:t>
      </w:r>
    </w:p>
    <w:p w14:paraId="458DD18B" w14:textId="77777777" w:rsidR="008C1F7A" w:rsidRPr="00301868" w:rsidRDefault="008C1F7A" w:rsidP="001875BF">
      <w:pPr>
        <w:rPr>
          <w:rFonts w:eastAsia="Calibri"/>
        </w:rPr>
      </w:pPr>
      <w:r w:rsidRPr="00301868">
        <w:rPr>
          <w:rFonts w:eastAsia="Calibri"/>
        </w:rPr>
        <w:t>- Xem xét và hoàn thiện quy trình tố tụng việc khởi kiện ra Tòa án của tổ chức công đoàn đối với hành vi vi phạm pháp luật về BHXH gây ảnh hưởng đến quyền và lợi ích hợp pháp của người lao động, tập thể người lao động, trong đó có vấn đề nợ BHXH.</w:t>
      </w:r>
    </w:p>
    <w:p w14:paraId="3351B51E" w14:textId="47D0A805" w:rsidR="008C1F7A" w:rsidRPr="00301868" w:rsidRDefault="001875BF" w:rsidP="001875BF">
      <w:pPr>
        <w:pStyle w:val="Heading3"/>
        <w:rPr>
          <w:rFonts w:eastAsia="Calibri"/>
        </w:rPr>
      </w:pPr>
      <w:bookmarkStart w:id="65" w:name="_Toc63186734"/>
      <w:r w:rsidRPr="00301868">
        <w:rPr>
          <w:rFonts w:eastAsia="Calibri"/>
        </w:rPr>
        <w:t xml:space="preserve">2.4. </w:t>
      </w:r>
      <w:r w:rsidR="008C1F7A" w:rsidRPr="00301868">
        <w:rPr>
          <w:rFonts w:eastAsia="Calibri"/>
        </w:rPr>
        <w:t>Về giải quyết và chi trả hiệu quả các chế độ bảo hiểm xã hội</w:t>
      </w:r>
      <w:bookmarkEnd w:id="65"/>
      <w:r w:rsidR="008C1F7A" w:rsidRPr="00301868">
        <w:rPr>
          <w:rFonts w:eastAsia="Calibri"/>
        </w:rPr>
        <w:t xml:space="preserve"> </w:t>
      </w:r>
    </w:p>
    <w:p w14:paraId="2826A92F" w14:textId="77777777" w:rsidR="008C1F7A" w:rsidRPr="00301868" w:rsidRDefault="008C1F7A" w:rsidP="001875BF">
      <w:pPr>
        <w:rPr>
          <w:rFonts w:eastAsia="Calibri"/>
        </w:rPr>
      </w:pPr>
      <w:r w:rsidRPr="00301868">
        <w:rPr>
          <w:rFonts w:eastAsia="Calibri"/>
        </w:rPr>
        <w:t xml:space="preserve">- Quy định cơ chế giám sát, kiểm tra chéo giữa các đơn vị có liên quan trong giải quyết các chế độ BHXH.  </w:t>
      </w:r>
    </w:p>
    <w:p w14:paraId="0BDA7946" w14:textId="3CD0570C" w:rsidR="008C1F7A" w:rsidRPr="00301868" w:rsidRDefault="00145BEE" w:rsidP="00145BEE">
      <w:pPr>
        <w:pStyle w:val="Heading3"/>
        <w:rPr>
          <w:rFonts w:eastAsia="Calibri"/>
        </w:rPr>
      </w:pPr>
      <w:bookmarkStart w:id="66" w:name="_Toc63186735"/>
      <w:r w:rsidRPr="00301868">
        <w:rPr>
          <w:rFonts w:eastAsia="Calibri"/>
        </w:rPr>
        <w:lastRenderedPageBreak/>
        <w:t xml:space="preserve">2.5. </w:t>
      </w:r>
      <w:r w:rsidR="008C1F7A" w:rsidRPr="00301868">
        <w:rPr>
          <w:rFonts w:eastAsia="Calibri"/>
        </w:rPr>
        <w:t>Về công tác thanh tra và kiểm tra việc thực hiện pháp luật về bảo hiểm xã hội</w:t>
      </w:r>
      <w:bookmarkEnd w:id="66"/>
      <w:r w:rsidR="008C1F7A" w:rsidRPr="00301868">
        <w:rPr>
          <w:rFonts w:eastAsia="Calibri"/>
        </w:rPr>
        <w:t xml:space="preserve"> </w:t>
      </w:r>
    </w:p>
    <w:p w14:paraId="424FA156" w14:textId="77777777" w:rsidR="008C1F7A" w:rsidRPr="00301868" w:rsidRDefault="008C1F7A" w:rsidP="00145BEE">
      <w:pPr>
        <w:rPr>
          <w:rFonts w:eastAsia="Calibri"/>
        </w:rPr>
      </w:pPr>
      <w:r w:rsidRPr="00301868">
        <w:rPr>
          <w:rFonts w:eastAsia="Calibri"/>
        </w:rPr>
        <w:t>- Quy định thời gian tối đa phải chấp hành hình phạt sau khi có quyết định xử phạt vi phạm hành chính của cơ quan thanh tra.</w:t>
      </w:r>
    </w:p>
    <w:p w14:paraId="3E4A4FC4" w14:textId="77777777" w:rsidR="008C1F7A" w:rsidRPr="00301868" w:rsidRDefault="008C1F7A" w:rsidP="00145BEE">
      <w:pPr>
        <w:rPr>
          <w:rFonts w:eastAsia="Calibri"/>
        </w:rPr>
      </w:pPr>
      <w:r w:rsidRPr="00301868">
        <w:rPr>
          <w:rFonts w:eastAsia="Calibri"/>
        </w:rPr>
        <w:t xml:space="preserve">- Quy định mức phạt bổ sung khi không chấp hành hình phạt sau khi có quyết định xử phạt vi phạm hành chính của cơ quan thanh tra. </w:t>
      </w:r>
    </w:p>
    <w:p w14:paraId="75971BDE" w14:textId="24B41981" w:rsidR="008C1F7A" w:rsidRPr="00301868" w:rsidRDefault="00145BEE" w:rsidP="00145BEE">
      <w:pPr>
        <w:pStyle w:val="Heading3"/>
        <w:rPr>
          <w:rFonts w:eastAsia="Calibri"/>
        </w:rPr>
      </w:pPr>
      <w:bookmarkStart w:id="67" w:name="_Toc63186736"/>
      <w:r w:rsidRPr="00301868">
        <w:rPr>
          <w:rFonts w:eastAsia="Calibri"/>
        </w:rPr>
        <w:t xml:space="preserve">2.6. </w:t>
      </w:r>
      <w:r w:rsidR="008C1F7A" w:rsidRPr="00301868">
        <w:rPr>
          <w:rFonts w:eastAsia="Calibri"/>
        </w:rPr>
        <w:t>Về công tác đầu tư và đánh giá tài chính Quỹ bảo hiểm xã hội</w:t>
      </w:r>
      <w:bookmarkEnd w:id="67"/>
    </w:p>
    <w:p w14:paraId="61EF1532" w14:textId="77777777" w:rsidR="008C1F7A" w:rsidRPr="00301868" w:rsidRDefault="008C1F7A" w:rsidP="00145BEE">
      <w:pPr>
        <w:rPr>
          <w:rFonts w:eastAsia="Calibri"/>
        </w:rPr>
      </w:pPr>
      <w:r w:rsidRPr="00301868">
        <w:rPr>
          <w:rFonts w:eastAsia="Calibri"/>
        </w:rPr>
        <w:t xml:space="preserve">- Quy định cơ chế và trách nhiệm rõ ràng của các bên liên quan trong đánh giá tài chính định kỳ quỹ BHXH; </w:t>
      </w:r>
    </w:p>
    <w:p w14:paraId="0E090FDE" w14:textId="77777777" w:rsidR="008C1F7A" w:rsidRPr="00301868" w:rsidRDefault="008C1F7A" w:rsidP="00145BEE">
      <w:pPr>
        <w:rPr>
          <w:rFonts w:eastAsia="Calibri"/>
        </w:rPr>
      </w:pPr>
      <w:r w:rsidRPr="00301868">
        <w:rPr>
          <w:rFonts w:eastAsia="Calibri"/>
        </w:rPr>
        <w:t xml:space="preserve">- Rà soát, sửa đổi, bổ sung danh mục đầu tư quỹ BHXH và quy trình thực hiện đầu tư.  </w:t>
      </w:r>
    </w:p>
    <w:p w14:paraId="46E8ED0D" w14:textId="2F69EB45" w:rsidR="008C1F7A" w:rsidRPr="00301868" w:rsidRDefault="00145BEE" w:rsidP="00145BEE">
      <w:pPr>
        <w:pStyle w:val="Heading3"/>
        <w:rPr>
          <w:rFonts w:eastAsia="Calibri"/>
        </w:rPr>
      </w:pPr>
      <w:bookmarkStart w:id="68" w:name="_Toc63186737"/>
      <w:r w:rsidRPr="00301868">
        <w:rPr>
          <w:rFonts w:eastAsia="Calibri"/>
        </w:rPr>
        <w:t xml:space="preserve">2.7. </w:t>
      </w:r>
      <w:r w:rsidR="008C1F7A" w:rsidRPr="00301868">
        <w:rPr>
          <w:rFonts w:eastAsia="Calibri"/>
        </w:rPr>
        <w:t>Về công tác giải quyết khiếu nại, tố cáo về bảo hiểm xã hội</w:t>
      </w:r>
      <w:bookmarkEnd w:id="68"/>
      <w:r w:rsidR="008C1F7A" w:rsidRPr="00301868">
        <w:rPr>
          <w:rFonts w:eastAsia="Calibri"/>
        </w:rPr>
        <w:t xml:space="preserve"> </w:t>
      </w:r>
    </w:p>
    <w:p w14:paraId="16443268" w14:textId="77777777" w:rsidR="008C1F7A" w:rsidRPr="00301868" w:rsidRDefault="008C1F7A" w:rsidP="00145BEE">
      <w:pPr>
        <w:rPr>
          <w:rFonts w:eastAsia="Calibri"/>
        </w:rPr>
      </w:pPr>
      <w:r w:rsidRPr="00301868">
        <w:rPr>
          <w:rFonts w:eastAsia="Calibri"/>
        </w:rPr>
        <w:t>- Quy định cụ thể và trách nhiệm rõ ràng của các bên liên quan trong công tác giải quyết khiếu nại, tố cáo về bảo hiểm xã hội, đặc biệt quyền khởi kiện ra Toàn án đối với hành vi vi phạm pháp luật về bảo hiểm xã hội của các tổ chức công đoàn.</w:t>
      </w:r>
    </w:p>
    <w:p w14:paraId="484F8C2B" w14:textId="0649D242" w:rsidR="008C1F7A" w:rsidRPr="00301868" w:rsidRDefault="00145BEE" w:rsidP="00145BEE">
      <w:pPr>
        <w:pStyle w:val="Heading3"/>
        <w:rPr>
          <w:rFonts w:eastAsia="Calibri"/>
        </w:rPr>
      </w:pPr>
      <w:bookmarkStart w:id="69" w:name="_Toc63186738"/>
      <w:r w:rsidRPr="00301868">
        <w:rPr>
          <w:rFonts w:eastAsia="Calibri"/>
        </w:rPr>
        <w:t xml:space="preserve">2.8. </w:t>
      </w:r>
      <w:r w:rsidR="008C1F7A" w:rsidRPr="00301868">
        <w:rPr>
          <w:rFonts w:eastAsia="Calibri"/>
        </w:rPr>
        <w:t>Về công tác thống kê, kế toán tài chính về bảo hiểm xã hội</w:t>
      </w:r>
      <w:bookmarkEnd w:id="69"/>
      <w:r w:rsidR="008C1F7A" w:rsidRPr="00301868">
        <w:rPr>
          <w:rFonts w:eastAsia="Calibri"/>
        </w:rPr>
        <w:t xml:space="preserve"> </w:t>
      </w:r>
    </w:p>
    <w:p w14:paraId="4261738F" w14:textId="77777777" w:rsidR="008C1F7A" w:rsidRPr="00301868" w:rsidRDefault="008C1F7A" w:rsidP="00145BEE">
      <w:pPr>
        <w:rPr>
          <w:rFonts w:ascii="Arial" w:eastAsia="Calibri" w:hAnsi="Arial"/>
          <w:sz w:val="22"/>
          <w:szCs w:val="22"/>
        </w:rPr>
      </w:pPr>
      <w:r w:rsidRPr="00301868">
        <w:rPr>
          <w:rFonts w:eastAsia="Calibri"/>
        </w:rPr>
        <w:t xml:space="preserve">Quy định trách nhiệm và chu kỳ thực hiện các đánh giá tài chính bảo hiểm xã hội 3 năm hoặc 5 năm một lần đối với các quỹ BHXH. </w:t>
      </w:r>
    </w:p>
    <w:p w14:paraId="688DC455" w14:textId="77777777" w:rsidR="008C1F7A" w:rsidRPr="00301868" w:rsidRDefault="008C1F7A" w:rsidP="00145BEE">
      <w:pPr>
        <w:pStyle w:val="Heading2"/>
        <w:rPr>
          <w:rFonts w:eastAsia="Calibri"/>
        </w:rPr>
      </w:pPr>
      <w:bookmarkStart w:id="70" w:name="_Toc63186739"/>
      <w:r w:rsidRPr="00301868">
        <w:rPr>
          <w:rFonts w:eastAsia="Calibri"/>
        </w:rPr>
        <w:t>III. QUAN ĐIỂM CHỈ ĐẠO VÀ MỤC TIÊU SỬA ĐỔI VÀ BỔ SUNG LUẬT BẢO HIỂM XÃ HỘI 2014</w:t>
      </w:r>
      <w:bookmarkEnd w:id="70"/>
      <w:r w:rsidRPr="00301868">
        <w:rPr>
          <w:rFonts w:eastAsia="Calibri"/>
        </w:rPr>
        <w:t xml:space="preserve"> </w:t>
      </w:r>
    </w:p>
    <w:p w14:paraId="3E97F10C" w14:textId="77777777" w:rsidR="008C1F7A" w:rsidRPr="00301868" w:rsidRDefault="008C1F7A" w:rsidP="00145BEE">
      <w:pPr>
        <w:rPr>
          <w:rFonts w:eastAsia="Calibri"/>
        </w:rPr>
      </w:pPr>
      <w:r w:rsidRPr="00301868">
        <w:rPr>
          <w:rFonts w:eastAsia="Calibri"/>
        </w:rPr>
        <w:t>Việc sửa đổi và bổ sung Luật BHXH 2014 cần quán triệt các quan điểm và các mục tiêu sau đây:</w:t>
      </w:r>
    </w:p>
    <w:p w14:paraId="3E29F2DB" w14:textId="77777777" w:rsidR="008C1F7A" w:rsidRPr="00301868" w:rsidRDefault="008C1F7A" w:rsidP="00145BEE">
      <w:pPr>
        <w:rPr>
          <w:rFonts w:eastAsia="Calibri"/>
        </w:rPr>
      </w:pPr>
      <w:r w:rsidRPr="00301868">
        <w:rPr>
          <w:rFonts w:eastAsia="Calibri"/>
        </w:rPr>
        <w:t>- Bảo hiểm xã hội là một trụ cột chính của hệ thống an sinh xã hội trong nền kinh tế thị trường định hướng xã hội chủ nghĩa, góp phần quan trọng thực hiện tiến bộ, công bằng xã hội, bảo đảm ổn định chính trị - xã hội, đời sống nhân dân, phát triển bền vững đất nước</w:t>
      </w:r>
    </w:p>
    <w:p w14:paraId="133323D2" w14:textId="77777777" w:rsidR="008C1F7A" w:rsidRPr="00301868" w:rsidRDefault="008C1F7A" w:rsidP="00145BEE">
      <w:pPr>
        <w:rPr>
          <w:rFonts w:eastAsia="Calibri"/>
        </w:rPr>
      </w:pPr>
      <w:r w:rsidRPr="00301868">
        <w:rPr>
          <w:rFonts w:eastAsia="Calibri"/>
        </w:rPr>
        <w:t xml:space="preserve">- Thể chế hóa các quan điểm về cải cách chính sách BHXH được nêu trong Nghị quyết số 28-NQ/TW ngày 23 tháng 5 năm 2018 của Hội nghị lần thứ bảy ban chấp hành Trung ương Khóa XII về Cải cách Chính sách bảo hiểm xã hội. </w:t>
      </w:r>
    </w:p>
    <w:p w14:paraId="7B3EB7BB" w14:textId="77777777" w:rsidR="008C1F7A" w:rsidRPr="00301868" w:rsidRDefault="008C1F7A" w:rsidP="00145BEE">
      <w:pPr>
        <w:pStyle w:val="Heading2"/>
        <w:rPr>
          <w:rFonts w:eastAsia="Calibri"/>
        </w:rPr>
      </w:pPr>
      <w:bookmarkStart w:id="71" w:name="_Toc63186740"/>
      <w:r w:rsidRPr="00301868">
        <w:rPr>
          <w:rFonts w:eastAsia="Calibri"/>
        </w:rPr>
        <w:t>IV. ĐỀ XUẤT CÁC GIẢI PHÁP VỀ CHÍNH SÁCH THÔNG QUA SỬA ĐỔI LUẬT BẢO HIỂM XÃ HỘI 2014</w:t>
      </w:r>
      <w:bookmarkEnd w:id="71"/>
    </w:p>
    <w:p w14:paraId="2ABA2784" w14:textId="77777777" w:rsidR="008C1F7A" w:rsidRPr="00301868" w:rsidRDefault="008C1F7A" w:rsidP="00145BEE">
      <w:pPr>
        <w:rPr>
          <w:rFonts w:eastAsia="Calibri"/>
        </w:rPr>
      </w:pPr>
      <w:r w:rsidRPr="00301868">
        <w:rPr>
          <w:rFonts w:eastAsia="Calibri"/>
        </w:rPr>
        <w:t>- Tạo nền móng cho tầng “Trợ cấp hưu trí xã hội” làm cơ sở vững chắc để xây dựng hệ thống bảo hiểm xã hội đa tầng;</w:t>
      </w:r>
    </w:p>
    <w:p w14:paraId="5D6FEC80" w14:textId="77777777" w:rsidR="008C1F7A" w:rsidRPr="00301868" w:rsidRDefault="008C1F7A" w:rsidP="00145BEE">
      <w:pPr>
        <w:rPr>
          <w:rFonts w:eastAsia="Calibri"/>
        </w:rPr>
      </w:pPr>
      <w:r w:rsidRPr="00301868">
        <w:rPr>
          <w:rFonts w:eastAsia="Calibri"/>
        </w:rPr>
        <w:lastRenderedPageBreak/>
        <w:t>-  Mở rộng diện bao phủ bảo hiểm xã hội cả bắt buộc và tự nguyện thông qua (i) Sửa đổi điều kiện hưởng chế độ hưu trí theo hướng giảm dần số năm đóng bảo hiểm xã hội tối thiểu để được hưởng chế độ hưu trí từ 20 năm xuống 15 năm, hướng tới còn 10 năm; (ii) Rà soát, mở rộng đối tượng tham gia bảo hiểm xã hội bắt buộc đối với các nhóm chủ hộ kinh doanh, người quản lý doanh nghiệp, người quản lý, điều hành hợp tác xã không hưởng tiền lương, người lao động làm việc theo chế độ linh hoạt.</w:t>
      </w:r>
    </w:p>
    <w:p w14:paraId="4B731379" w14:textId="77777777" w:rsidR="008C1F7A" w:rsidRPr="00301868" w:rsidRDefault="008C1F7A" w:rsidP="00145BEE">
      <w:pPr>
        <w:rPr>
          <w:rFonts w:eastAsia="Calibri"/>
        </w:rPr>
      </w:pPr>
      <w:r w:rsidRPr="00301868">
        <w:rPr>
          <w:rFonts w:eastAsia="Calibri"/>
        </w:rPr>
        <w:t xml:space="preserve">- Đẩy nhanh quá trình gia tăng số lao động tham gia bảo hiểm xã hội trong khu vực phi chính thức thông qua mở rộng các chế độ bảo hiểm xã hội ngắn hạn, bao gồm thái sản và trợ cấp gia đình dành cho trẻ em với mức đóng, mức hưởng, phương thức đóng phù hợp với người lao động trong khu vực phi chính thức có sự hỗ trợ của Nhà nước. </w:t>
      </w:r>
    </w:p>
    <w:p w14:paraId="6D7164E4" w14:textId="77777777" w:rsidR="008C1F7A" w:rsidRPr="00301868" w:rsidRDefault="008C1F7A" w:rsidP="00145BEE">
      <w:pPr>
        <w:rPr>
          <w:rFonts w:eastAsia="Calibri"/>
        </w:rPr>
      </w:pPr>
      <w:r w:rsidRPr="00301868">
        <w:rPr>
          <w:rFonts w:eastAsia="Calibri"/>
        </w:rPr>
        <w:t>- Có quy định phù hợp để giảm tình trạng hưởng bảo hiểm xã hội một lần.</w:t>
      </w:r>
    </w:p>
    <w:p w14:paraId="3BD5CE95" w14:textId="77777777" w:rsidR="008C1F7A" w:rsidRPr="00301868" w:rsidRDefault="008C1F7A" w:rsidP="00145BEE">
      <w:pPr>
        <w:rPr>
          <w:rFonts w:eastAsia="Calibri"/>
        </w:rPr>
      </w:pPr>
      <w:r w:rsidRPr="00301868">
        <w:rPr>
          <w:rFonts w:eastAsia="Calibri"/>
        </w:rPr>
        <w:t>- Thực hiện điều chỉnh tuổi nghỉ hưu theo mục tiêu tăng tuổi nghỉ hưu chung, thu hẹp dần khoảng cách về giới trong quy định tuổi nghỉ hưu; đối với những ngành nghề đặc biệt, người lao động được quyền nghỉ hưu sớm, hoặc muộn hơn 5 tuổi so với tuổi nghỉ hưu chung.</w:t>
      </w:r>
    </w:p>
    <w:p w14:paraId="35DE2FCB" w14:textId="2B945275" w:rsidR="008C1F7A" w:rsidRPr="001A5469" w:rsidRDefault="008C1F7A" w:rsidP="00145BEE">
      <w:pPr>
        <w:rPr>
          <w:rFonts w:eastAsia="Calibri"/>
        </w:rPr>
      </w:pPr>
      <w:r w:rsidRPr="00301868">
        <w:rPr>
          <w:rFonts w:eastAsia="Calibri"/>
        </w:rPr>
        <w:t xml:space="preserve"> - Tăng cường công tác đánh giá, dự báo tài chính, hiệu quả đầu tư các quỹ bảo hiểm xã hội; đa dạng hóa danh mục, cơ cấu đầu tư Quỹ bảo hiểm xã hội theo nguyên tắc an toàn, bền vững và hiệu quả; ưu tiên đầu tư vào trái phiếu chính phủ, nhất là trái phiếu chính phủ dài hạn; nghiên cứu từng bước mở rộng sang các lĩnh vực có khả năng sinh lời cao, từng bước và có lộ trình đầu tư một phần tiền nhàn rỗi của Quỹ thông qua ủy thác đầu tư tại thị trường trong nước và quốc tế bảo đảm an toàn, bền vững./.</w:t>
      </w:r>
      <w:r w:rsidRPr="001A5469">
        <w:rPr>
          <w:rFonts w:eastAsia="Calibri"/>
        </w:rPr>
        <w:t xml:space="preserve">  </w:t>
      </w:r>
    </w:p>
    <w:p w14:paraId="4BE9A3F9" w14:textId="3FCD1A80" w:rsidR="004E4FD1" w:rsidRPr="00AF5B80" w:rsidRDefault="004E4FD1" w:rsidP="00AF5B80">
      <w:pPr>
        <w:spacing w:after="0" w:line="240" w:lineRule="auto"/>
        <w:ind w:firstLine="0"/>
        <w:jc w:val="left"/>
        <w:rPr>
          <w:lang w:val="vi-VN"/>
        </w:rPr>
      </w:pPr>
    </w:p>
    <w:sectPr w:rsidR="004E4FD1" w:rsidRPr="00AF5B80" w:rsidSect="00654121">
      <w:headerReference w:type="even" r:id="rId9"/>
      <w:headerReference w:type="default" r:id="rId10"/>
      <w:footerReference w:type="even" r:id="rId11"/>
      <w:pgSz w:w="11907" w:h="16840" w:code="9"/>
      <w:pgMar w:top="1134" w:right="1134"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AB4FC7" w15:done="0"/>
  <w15:commentEx w15:paraId="40670DC4" w15:done="0"/>
  <w15:commentEx w15:paraId="46AE435C" w15:done="0"/>
  <w15:commentEx w15:paraId="592C6EC5" w15:done="0"/>
  <w15:commentEx w15:paraId="141F69CF" w15:done="0"/>
  <w15:commentEx w15:paraId="3E1047E6" w15:done="0"/>
  <w15:commentEx w15:paraId="03FD400F" w15:done="0"/>
  <w15:commentEx w15:paraId="43FAB86E" w15:done="0"/>
  <w15:commentEx w15:paraId="6B34A9DA" w15:done="0"/>
  <w15:commentEx w15:paraId="3A65DA3C" w15:done="0"/>
  <w15:commentEx w15:paraId="15C2FA9F" w15:done="0"/>
  <w15:commentEx w15:paraId="5D28A091" w15:done="0"/>
  <w15:commentEx w15:paraId="270F4063" w15:done="0"/>
  <w15:commentEx w15:paraId="471BCC3A" w15:done="0"/>
  <w15:commentEx w15:paraId="07E24A66" w15:done="0"/>
  <w15:commentEx w15:paraId="411F9B8C" w15:done="0"/>
  <w15:commentEx w15:paraId="36AABAD2" w15:done="0"/>
  <w15:commentEx w15:paraId="2A5DAA9A" w15:done="0"/>
  <w15:commentEx w15:paraId="0B4FCF78" w15:done="0"/>
  <w15:commentEx w15:paraId="3A4E57ED" w15:done="0"/>
  <w15:commentEx w15:paraId="4BE5386E" w15:done="0"/>
  <w15:commentEx w15:paraId="7FEE825B" w15:done="0"/>
  <w15:commentEx w15:paraId="6A2209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AB4FC7" w16cid:durableId="23C42645"/>
  <w16cid:commentId w16cid:paraId="40670DC4" w16cid:durableId="23C42646"/>
  <w16cid:commentId w16cid:paraId="46AE435C" w16cid:durableId="23C42647"/>
  <w16cid:commentId w16cid:paraId="592C6EC5" w16cid:durableId="23C42648"/>
  <w16cid:commentId w16cid:paraId="141F69CF" w16cid:durableId="23C42649"/>
  <w16cid:commentId w16cid:paraId="3E1047E6" w16cid:durableId="23C4264A"/>
  <w16cid:commentId w16cid:paraId="03FD400F" w16cid:durableId="23C4264B"/>
  <w16cid:commentId w16cid:paraId="43FAB86E" w16cid:durableId="23C4264C"/>
  <w16cid:commentId w16cid:paraId="6B34A9DA" w16cid:durableId="23C4264D"/>
  <w16cid:commentId w16cid:paraId="3A65DA3C" w16cid:durableId="23C4264E"/>
  <w16cid:commentId w16cid:paraId="15C2FA9F" w16cid:durableId="23C4264F"/>
  <w16cid:commentId w16cid:paraId="5D28A091" w16cid:durableId="23C42650"/>
  <w16cid:commentId w16cid:paraId="270F4063" w16cid:durableId="23C42651"/>
  <w16cid:commentId w16cid:paraId="471BCC3A" w16cid:durableId="23C42652"/>
  <w16cid:commentId w16cid:paraId="07E24A66" w16cid:durableId="23C42653"/>
  <w16cid:commentId w16cid:paraId="411F9B8C" w16cid:durableId="23C42654"/>
  <w16cid:commentId w16cid:paraId="36AABAD2" w16cid:durableId="23C42655"/>
  <w16cid:commentId w16cid:paraId="2A5DAA9A" w16cid:durableId="23C42656"/>
  <w16cid:commentId w16cid:paraId="0B4FCF78" w16cid:durableId="23C42657"/>
  <w16cid:commentId w16cid:paraId="3A4E57ED" w16cid:durableId="23C42658"/>
  <w16cid:commentId w16cid:paraId="4BE5386E" w16cid:durableId="23C42659"/>
  <w16cid:commentId w16cid:paraId="7FEE825B" w16cid:durableId="23C4265A"/>
  <w16cid:commentId w16cid:paraId="6A2209E3" w16cid:durableId="23C426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15251" w14:textId="77777777" w:rsidR="003C6152" w:rsidRDefault="003C6152" w:rsidP="00DF38D4">
      <w:r>
        <w:separator/>
      </w:r>
    </w:p>
  </w:endnote>
  <w:endnote w:type="continuationSeparator" w:id="0">
    <w:p w14:paraId="069DDD79" w14:textId="77777777" w:rsidR="003C6152" w:rsidRDefault="003C6152" w:rsidP="00D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7EE7" w14:textId="77777777" w:rsidR="00A02462" w:rsidRDefault="00A02462" w:rsidP="00DF38D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8AD337D" w14:textId="77777777" w:rsidR="00A02462" w:rsidRDefault="00A02462" w:rsidP="00DF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8AE15" w14:textId="77777777" w:rsidR="003C6152" w:rsidRDefault="003C6152" w:rsidP="00DF38D4">
      <w:r>
        <w:separator/>
      </w:r>
    </w:p>
  </w:footnote>
  <w:footnote w:type="continuationSeparator" w:id="0">
    <w:p w14:paraId="76B31CCE" w14:textId="77777777" w:rsidR="003C6152" w:rsidRDefault="003C6152" w:rsidP="00DF38D4">
      <w:r>
        <w:continuationSeparator/>
      </w:r>
    </w:p>
  </w:footnote>
  <w:footnote w:id="1">
    <w:p w14:paraId="27DC4614" w14:textId="77777777" w:rsidR="00A02462" w:rsidRPr="007C2005" w:rsidRDefault="00A02462" w:rsidP="007C2005">
      <w:pPr>
        <w:pStyle w:val="FootnoteText"/>
        <w:spacing w:after="60" w:line="240" w:lineRule="auto"/>
      </w:pPr>
      <w:r w:rsidRPr="007C2005">
        <w:rPr>
          <w:rStyle w:val="FootnoteReference"/>
        </w:rPr>
        <w:footnoteRef/>
      </w:r>
      <w:r w:rsidRPr="007C2005">
        <w:t xml:space="preserve"> Ngân hàng Thế giới (2016)</w:t>
      </w:r>
    </w:p>
  </w:footnote>
  <w:footnote w:id="2">
    <w:p w14:paraId="4879441B" w14:textId="77777777" w:rsidR="00A02462" w:rsidRPr="007C2005" w:rsidRDefault="00A02462" w:rsidP="007C2005">
      <w:pPr>
        <w:pStyle w:val="FootnoteText"/>
        <w:spacing w:after="60" w:line="240" w:lineRule="auto"/>
      </w:pPr>
      <w:r w:rsidRPr="007C2005">
        <w:rPr>
          <w:rStyle w:val="FootnoteReference"/>
        </w:rPr>
        <w:footnoteRef/>
      </w:r>
      <w:r w:rsidRPr="007C2005">
        <w:t xml:space="preserve"> Khoản 1 Điều 1</w:t>
      </w:r>
    </w:p>
  </w:footnote>
  <w:footnote w:id="3">
    <w:p w14:paraId="6F36ADA7" w14:textId="77777777" w:rsidR="00A02462" w:rsidRPr="007C2005" w:rsidRDefault="00A02462" w:rsidP="007C2005">
      <w:pPr>
        <w:pStyle w:val="FootnoteText"/>
        <w:spacing w:after="60" w:line="240" w:lineRule="auto"/>
      </w:pPr>
      <w:r w:rsidRPr="007C2005">
        <w:rPr>
          <w:rStyle w:val="FootnoteReference"/>
        </w:rPr>
        <w:footnoteRef/>
      </w:r>
      <w:r w:rsidRPr="007C2005">
        <w:t xml:space="preserve"> Bảo hiểm xã hội Việt Nam, 2019.</w:t>
      </w:r>
    </w:p>
  </w:footnote>
  <w:footnote w:id="4">
    <w:p w14:paraId="1DAE1AE8" w14:textId="40376846" w:rsidR="00A02462" w:rsidRPr="008A6FBA" w:rsidRDefault="00A02462">
      <w:pPr>
        <w:pStyle w:val="FootnoteText"/>
      </w:pPr>
      <w:r>
        <w:rPr>
          <w:rStyle w:val="FootnoteReference"/>
        </w:rPr>
        <w:footnoteRef/>
      </w:r>
      <w:r>
        <w:t xml:space="preserve"> </w:t>
      </w:r>
      <w:r w:rsidRPr="008A6FBA">
        <w:t>Điểm 1 Mục III Nghị quyết số 28/NQ-T</w:t>
      </w:r>
      <w:r>
        <w:t>W ngày 23/5/2018 của BCH Trung ương về cải cách chính sách BHXH.</w:t>
      </w:r>
    </w:p>
  </w:footnote>
  <w:footnote w:id="5">
    <w:p w14:paraId="19265B9E" w14:textId="4FEA9BB7" w:rsidR="00A02462" w:rsidRPr="00C40B74" w:rsidRDefault="00A02462">
      <w:pPr>
        <w:pStyle w:val="FootnoteText"/>
      </w:pPr>
      <w:r>
        <w:rPr>
          <w:rStyle w:val="FootnoteReference"/>
        </w:rPr>
        <w:footnoteRef/>
      </w:r>
      <w:r>
        <w:t xml:space="preserve"> </w:t>
      </w:r>
      <w:r w:rsidRPr="001A5469">
        <w:rPr>
          <w:rFonts w:eastAsia="Calibri"/>
        </w:rPr>
        <w:t>Ví dụ</w:t>
      </w:r>
      <w:r>
        <w:rPr>
          <w:rFonts w:eastAsia="Calibri"/>
        </w:rPr>
        <w:t>: Chính sách</w:t>
      </w:r>
      <w:r w:rsidRPr="001A5469">
        <w:rPr>
          <w:rFonts w:eastAsia="Calibri"/>
        </w:rPr>
        <w:t xml:space="preserve"> hỗ trợ </w:t>
      </w:r>
      <w:r>
        <w:rPr>
          <w:rFonts w:eastAsia="Calibri"/>
        </w:rPr>
        <w:t xml:space="preserve">tiền </w:t>
      </w:r>
      <w:r w:rsidRPr="001A5469">
        <w:rPr>
          <w:rFonts w:eastAsia="Calibri"/>
        </w:rPr>
        <w:t xml:space="preserve">đóng BHXH đối với những người tham gia BHXH tự nguyện </w:t>
      </w:r>
      <w:r>
        <w:rPr>
          <w:rFonts w:eastAsia="Calibri"/>
        </w:rPr>
        <w:t>áp dụng</w:t>
      </w:r>
      <w:r w:rsidRPr="001A5469">
        <w:rPr>
          <w:rFonts w:eastAsia="Calibri"/>
        </w:rPr>
        <w:t xml:space="preserve"> đối với những người từ 60 tuổi trở lên, nhưng trợ cấp xã hội hàng tháng dành cho người cao tuổi theo </w:t>
      </w:r>
      <w:r>
        <w:rPr>
          <w:rFonts w:eastAsia="Calibri"/>
        </w:rPr>
        <w:t>chính sách</w:t>
      </w:r>
      <w:r w:rsidRPr="001A5469">
        <w:rPr>
          <w:rFonts w:eastAsia="Calibri"/>
        </w:rPr>
        <w:t xml:space="preserve"> bảo trợ xã hội</w:t>
      </w:r>
      <w:r>
        <w:rPr>
          <w:rFonts w:eastAsia="Calibri"/>
        </w:rPr>
        <w:t xml:space="preserve"> hiện hành (Nghị định số 136/2013/NĐ-CP)</w:t>
      </w:r>
      <w:r w:rsidRPr="001A5469">
        <w:rPr>
          <w:rFonts w:eastAsia="Calibri"/>
        </w:rPr>
        <w:t xml:space="preserve"> chỉ áp dụng đối với những người từ 80 tuổi trở lên</w:t>
      </w:r>
      <w:r>
        <w:rPr>
          <w:rFonts w:eastAsia="Calibri"/>
        </w:rPr>
        <w:t>.</w:t>
      </w:r>
    </w:p>
  </w:footnote>
  <w:footnote w:id="6">
    <w:p w14:paraId="0290ED75" w14:textId="2147BEFC" w:rsidR="00A02462" w:rsidRPr="00176ED2" w:rsidRDefault="00A02462" w:rsidP="00176ED2">
      <w:pPr>
        <w:pStyle w:val="FootnoteText"/>
      </w:pPr>
      <w:r>
        <w:rPr>
          <w:rStyle w:val="FootnoteReference"/>
        </w:rPr>
        <w:footnoteRef/>
      </w:r>
      <w:r>
        <w:t xml:space="preserve"> </w:t>
      </w:r>
      <w:r w:rsidRPr="001A5469">
        <w:rPr>
          <w:rFonts w:eastAsia="Calibri"/>
        </w:rPr>
        <w:t xml:space="preserve">Nghị quyết số 15-NQ/TW ngày </w:t>
      </w:r>
      <w:r>
        <w:rPr>
          <w:rFonts w:eastAsia="Calibri"/>
        </w:rPr>
        <w:t>0</w:t>
      </w:r>
      <w:r w:rsidRPr="001A5469">
        <w:rPr>
          <w:rFonts w:eastAsia="Calibri"/>
        </w:rPr>
        <w:t>1 tháng 6 năm 2012 Hội nghị lần thứ V Ban Chấp hành Trung ương khóa XI về một số vấn đề về chính sách xã hội giai đoạn 2012 -</w:t>
      </w:r>
      <w:r>
        <w:rPr>
          <w:rFonts w:eastAsia="Calibri"/>
        </w:rPr>
        <w:t xml:space="preserve"> 2020; Nghị quyết số 21-NQ/TW ngày 22 tháng 11 năm 2012 của Bộ Chính trị về tăng cường sự lãnh đạo của Đảng đối với công tác bảo hiểm xã hội, bảo hiểm y tế giai đoạn 2012 - 2020.</w:t>
      </w:r>
    </w:p>
  </w:footnote>
  <w:footnote w:id="7">
    <w:p w14:paraId="1FB0C473" w14:textId="17E49AC6" w:rsidR="00A02462" w:rsidRPr="007C2005" w:rsidRDefault="00A02462" w:rsidP="007C2005">
      <w:pPr>
        <w:pStyle w:val="FootnoteText"/>
        <w:spacing w:after="60" w:line="240" w:lineRule="auto"/>
      </w:pPr>
      <w:r w:rsidRPr="007C2005">
        <w:rPr>
          <w:rStyle w:val="FootnoteReference"/>
        </w:rPr>
        <w:footnoteRef/>
      </w:r>
      <w:r w:rsidRPr="007C2005">
        <w:t xml:space="preserve"> Điều 2 </w:t>
      </w:r>
      <w:r>
        <w:t>Luật BHXH năm 2014</w:t>
      </w:r>
    </w:p>
  </w:footnote>
  <w:footnote w:id="8">
    <w:p w14:paraId="52750EB0" w14:textId="0CD495E2" w:rsidR="00A02462" w:rsidRPr="00EA021A" w:rsidRDefault="00A02462">
      <w:pPr>
        <w:pStyle w:val="FootnoteText"/>
      </w:pPr>
      <w:r>
        <w:rPr>
          <w:rStyle w:val="FootnoteReference"/>
        </w:rPr>
        <w:footnoteRef/>
      </w:r>
      <w:r>
        <w:t xml:space="preserve"> Điểu i khoản 1 Điều 2 Luật BHXH 2014</w:t>
      </w:r>
    </w:p>
  </w:footnote>
  <w:footnote w:id="9">
    <w:p w14:paraId="5531FE0C" w14:textId="0DD845C7" w:rsidR="00A02462" w:rsidRPr="00FF061B" w:rsidRDefault="00A02462">
      <w:pPr>
        <w:pStyle w:val="FootnoteText"/>
      </w:pPr>
      <w:r>
        <w:rPr>
          <w:rStyle w:val="FootnoteReference"/>
        </w:rPr>
        <w:footnoteRef/>
      </w:r>
      <w:r>
        <w:t xml:space="preserve"> Điều 14 và khoản 2 Điều 17 Nghị định số 134/2015/NĐ-CP</w:t>
      </w:r>
    </w:p>
  </w:footnote>
  <w:footnote w:id="10">
    <w:p w14:paraId="76794ACA" w14:textId="5E10579D" w:rsidR="00A02462" w:rsidRPr="00696D1E" w:rsidRDefault="00A02462">
      <w:pPr>
        <w:pStyle w:val="FootnoteText"/>
      </w:pPr>
      <w:r>
        <w:rPr>
          <w:rStyle w:val="FootnoteReference"/>
        </w:rPr>
        <w:footnoteRef/>
      </w:r>
      <w:r>
        <w:t xml:space="preserve"> Đẩy mạnh công tác tuyên truyền và sự tham gia của hệ thống Bưu điện thuộc Tổng công ty Bưu điện Việt Nam (VNPost) với vai trò là đại lý thu BHXH tự nguyện.</w:t>
      </w:r>
    </w:p>
  </w:footnote>
  <w:footnote w:id="11">
    <w:p w14:paraId="775D99E7" w14:textId="1ECEE28C" w:rsidR="00A02462" w:rsidRPr="00D52DF8" w:rsidRDefault="00A02462">
      <w:pPr>
        <w:pStyle w:val="FootnoteText"/>
      </w:pPr>
      <w:r>
        <w:rPr>
          <w:rStyle w:val="FootnoteReference"/>
        </w:rPr>
        <w:footnoteRef/>
      </w:r>
      <w:r>
        <w:t xml:space="preserve"> Theo quy định tại khoản 2 Điều 2 Luật BHXH năm 2014 và Nghị định số 143/2018/NĐ-CP ngày  15/10/2018 của Chính phủ.</w:t>
      </w:r>
    </w:p>
  </w:footnote>
  <w:footnote w:id="12">
    <w:p w14:paraId="7C0BE413" w14:textId="77777777" w:rsidR="00A02462" w:rsidRPr="007C2005" w:rsidRDefault="00A02462" w:rsidP="000B1C3A">
      <w:pPr>
        <w:pStyle w:val="FootnoteText"/>
        <w:spacing w:after="60" w:line="240" w:lineRule="auto"/>
      </w:pPr>
      <w:r w:rsidRPr="007C2005">
        <w:rPr>
          <w:rStyle w:val="FootnoteReference"/>
        </w:rPr>
        <w:footnoteRef/>
      </w:r>
      <w:r w:rsidRPr="007C2005">
        <w:t xml:space="preserve"> Báo cáo số 4059/BC-BHXH ngày 30 tháng 10 năm 2019 của BHXH Việt Nam </w:t>
      </w:r>
    </w:p>
  </w:footnote>
  <w:footnote w:id="13">
    <w:p w14:paraId="6F39B964" w14:textId="77777777" w:rsidR="00A02462" w:rsidRPr="007C2005" w:rsidRDefault="00A02462" w:rsidP="000B1C3A">
      <w:pPr>
        <w:pStyle w:val="FootnoteText"/>
        <w:spacing w:after="60" w:line="240" w:lineRule="auto"/>
      </w:pPr>
      <w:r w:rsidRPr="007C2005">
        <w:rPr>
          <w:rStyle w:val="FootnoteReference"/>
        </w:rPr>
        <w:footnoteRef/>
      </w:r>
      <w:r w:rsidRPr="007C2005">
        <w:t xml:space="preserve"> Công văn số /BTC-HCSN ngày…. tháng … năm 2019 của Bộ Tài chính</w:t>
      </w:r>
    </w:p>
  </w:footnote>
  <w:footnote w:id="14">
    <w:p w14:paraId="538092A2" w14:textId="77777777" w:rsidR="00A02462" w:rsidRPr="007C2005" w:rsidRDefault="00A02462" w:rsidP="007C2005">
      <w:pPr>
        <w:pStyle w:val="FootnoteText"/>
        <w:spacing w:after="60" w:line="240" w:lineRule="auto"/>
      </w:pPr>
      <w:r w:rsidRPr="007C2005">
        <w:rPr>
          <w:rStyle w:val="FootnoteReference"/>
        </w:rPr>
        <w:footnoteRef/>
      </w:r>
      <w:r w:rsidRPr="007C2005">
        <w:t xml:space="preserve"> Bảo hiểm xã hội Việt Nam: Đề án ủy thác thu bảo hiểm xã hội</w:t>
      </w:r>
    </w:p>
  </w:footnote>
  <w:footnote w:id="15">
    <w:p w14:paraId="068633E9" w14:textId="77777777" w:rsidR="00A02462" w:rsidRPr="007C2005" w:rsidRDefault="00A02462" w:rsidP="007C2005">
      <w:pPr>
        <w:pStyle w:val="FootnoteText"/>
        <w:spacing w:after="60" w:line="240" w:lineRule="auto"/>
      </w:pPr>
      <w:r w:rsidRPr="007C2005">
        <w:rPr>
          <w:rStyle w:val="FootnoteReference"/>
        </w:rPr>
        <w:footnoteRef/>
      </w:r>
      <w:r w:rsidRPr="007C2005">
        <w:t xml:space="preserve"> Báo cáo số 331/BC-BHXH ngày 6 tháng 2 năm 2020 của Bảo hiểm xã hội Việt Nam về tình hình chi trả các chế độ BHXH, trợ cấp thất nghiệp và quản lý người hưởng qua hệ thống Bưu điện năm 2019</w:t>
      </w:r>
    </w:p>
  </w:footnote>
  <w:footnote w:id="16">
    <w:p w14:paraId="65822A10" w14:textId="77777777" w:rsidR="00A02462" w:rsidRPr="007C2005" w:rsidRDefault="00A02462" w:rsidP="007C2005">
      <w:pPr>
        <w:pStyle w:val="FootnoteText"/>
        <w:spacing w:after="60" w:line="240" w:lineRule="auto"/>
      </w:pPr>
      <w:r w:rsidRPr="007C2005">
        <w:rPr>
          <w:rStyle w:val="FootnoteReference"/>
        </w:rPr>
        <w:footnoteRef/>
      </w:r>
      <w:r w:rsidRPr="007C2005">
        <w:t xml:space="preserve"> Báo cáo số 15585/BTC-HCSN ngày 24 tháng 12 năm 2019 của Bộ Tài chính về việc Báo cáo tổng kết thi hành Luật bảo hiểm xã hội giai đoạn 2016-2019</w:t>
      </w:r>
    </w:p>
  </w:footnote>
  <w:footnote w:id="17">
    <w:p w14:paraId="4D949F66" w14:textId="77777777" w:rsidR="00A02462" w:rsidRPr="007C2005" w:rsidRDefault="00A02462" w:rsidP="007C2005">
      <w:pPr>
        <w:pStyle w:val="FootnoteText"/>
        <w:spacing w:after="60" w:line="240" w:lineRule="auto"/>
      </w:pPr>
      <w:r w:rsidRPr="007C2005">
        <w:rPr>
          <w:rStyle w:val="FootnoteReference"/>
        </w:rPr>
        <w:footnoteRef/>
      </w:r>
      <w:r w:rsidRPr="007C2005">
        <w:t xml:space="preserve"> Báo cáo đánh giá, bổ sung tình hình kinh tế - xã hội quý 1 và năm 2020 của Bộ KH-ĐT: trong quý 1, cả nước có 29.700 doanh nghiệp (DN) đăng ký thành lập mới; Tổng số lao động đăng ký của các DN thành lập mới trong quý 1 là 243.711 lao động</w:t>
      </w:r>
    </w:p>
  </w:footnote>
  <w:footnote w:id="18">
    <w:p w14:paraId="59B3E1FF" w14:textId="77777777" w:rsidR="00A02462" w:rsidRPr="007C2005" w:rsidRDefault="00A02462" w:rsidP="007C2005">
      <w:pPr>
        <w:pStyle w:val="FootnoteText"/>
        <w:spacing w:after="60" w:line="240" w:lineRule="auto"/>
      </w:pPr>
      <w:r w:rsidRPr="007C2005">
        <w:rPr>
          <w:rStyle w:val="FootnoteReference"/>
        </w:rPr>
        <w:footnoteRef/>
      </w:r>
      <w:r w:rsidRPr="007C2005">
        <w:t xml:space="preserve"> Bảo hiểm xã hội Việt Nam: Báo cáo đề án ủy thác thu bảo hiểm xã hội</w:t>
      </w:r>
    </w:p>
  </w:footnote>
  <w:footnote w:id="19">
    <w:p w14:paraId="64F1DA96" w14:textId="77777777" w:rsidR="00A02462" w:rsidRPr="007C2005" w:rsidRDefault="00A02462" w:rsidP="007C2005">
      <w:pPr>
        <w:pStyle w:val="FootnoteText"/>
        <w:spacing w:after="60" w:line="240" w:lineRule="auto"/>
      </w:pPr>
      <w:r w:rsidRPr="007C2005">
        <w:rPr>
          <w:rStyle w:val="FootnoteReference"/>
        </w:rPr>
        <w:footnoteRef/>
      </w:r>
      <w:r w:rsidRPr="007C2005">
        <w:t xml:space="preserve"> Báo cáo đánh giá, bổ sung tình hình kinh tế - xã hội quý 1 và năm 2020 của Bộ KH-ĐT: trong quý 1, cả nước có 29.700 doanh nghiệp (DN) đăng ký thành lập mới; Tổng số lao động đăng ký của các DN thành lập mới trong quý 1 là 243.711 lao động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460D" w14:textId="77777777" w:rsidR="00A02462" w:rsidRDefault="00A02462" w:rsidP="00DF38D4">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21911241" w14:textId="77777777" w:rsidR="00A02462" w:rsidRDefault="00A02462" w:rsidP="00DF3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99321437"/>
      <w:docPartObj>
        <w:docPartGallery w:val="Page Numbers (Top of Page)"/>
        <w:docPartUnique/>
      </w:docPartObj>
    </w:sdtPr>
    <w:sdtEndPr>
      <w:rPr>
        <w:noProof/>
      </w:rPr>
    </w:sdtEndPr>
    <w:sdtContent>
      <w:p w14:paraId="0D85CBA0" w14:textId="1230620E" w:rsidR="00A02462" w:rsidRPr="00C03F3A" w:rsidRDefault="00A02462" w:rsidP="00DC414D">
        <w:pPr>
          <w:pStyle w:val="Header"/>
          <w:spacing w:after="0" w:line="240" w:lineRule="auto"/>
          <w:ind w:firstLine="0"/>
          <w:jc w:val="center"/>
          <w:rPr>
            <w:sz w:val="24"/>
            <w:szCs w:val="24"/>
          </w:rPr>
        </w:pPr>
        <w:r w:rsidRPr="00C03F3A">
          <w:rPr>
            <w:sz w:val="24"/>
            <w:szCs w:val="24"/>
          </w:rPr>
          <w:fldChar w:fldCharType="begin"/>
        </w:r>
        <w:r w:rsidRPr="00C03F3A">
          <w:rPr>
            <w:sz w:val="24"/>
            <w:szCs w:val="24"/>
          </w:rPr>
          <w:instrText xml:space="preserve"> PAGE   \* MERGEFORMAT </w:instrText>
        </w:r>
        <w:r w:rsidRPr="00C03F3A">
          <w:rPr>
            <w:sz w:val="24"/>
            <w:szCs w:val="24"/>
          </w:rPr>
          <w:fldChar w:fldCharType="separate"/>
        </w:r>
        <w:r w:rsidR="008976D5">
          <w:rPr>
            <w:noProof/>
            <w:sz w:val="24"/>
            <w:szCs w:val="24"/>
          </w:rPr>
          <w:t>40</w:t>
        </w:r>
        <w:r w:rsidRPr="00C03F3A">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4FF"/>
    <w:multiLevelType w:val="hybridMultilevel"/>
    <w:tmpl w:val="DD74488E"/>
    <w:lvl w:ilvl="0" w:tplc="A64A0B52">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AF75DD"/>
    <w:multiLevelType w:val="hybridMultilevel"/>
    <w:tmpl w:val="C2F81A68"/>
    <w:lvl w:ilvl="0" w:tplc="154EAEEA">
      <w:start w:val="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4DA4"/>
    <w:multiLevelType w:val="hybridMultilevel"/>
    <w:tmpl w:val="B6321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61D9F"/>
    <w:multiLevelType w:val="hybridMultilevel"/>
    <w:tmpl w:val="D936A31E"/>
    <w:lvl w:ilvl="0" w:tplc="F47CF8E4">
      <w:start w:val="4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B17F4"/>
    <w:multiLevelType w:val="hybridMultilevel"/>
    <w:tmpl w:val="3D36BC1C"/>
    <w:lvl w:ilvl="0" w:tplc="4CE8BDD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8B33F7"/>
    <w:multiLevelType w:val="multilevel"/>
    <w:tmpl w:val="D16A4DF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FF83080"/>
    <w:multiLevelType w:val="hybridMultilevel"/>
    <w:tmpl w:val="C632E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3522CB"/>
    <w:multiLevelType w:val="hybridMultilevel"/>
    <w:tmpl w:val="FE12858C"/>
    <w:lvl w:ilvl="0" w:tplc="4CE8BDD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AF7584"/>
    <w:multiLevelType w:val="multilevel"/>
    <w:tmpl w:val="48CAC2D0"/>
    <w:lvl w:ilvl="0">
      <w:start w:val="1"/>
      <w:numFmt w:val="decimal"/>
      <w:lvlText w:val="%1"/>
      <w:lvlJc w:val="left"/>
      <w:pPr>
        <w:ind w:left="450" w:hanging="450"/>
      </w:pPr>
      <w:rPr>
        <w:rFonts w:hint="default"/>
        <w:b/>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385B29AB"/>
    <w:multiLevelType w:val="hybridMultilevel"/>
    <w:tmpl w:val="E82690E8"/>
    <w:lvl w:ilvl="0" w:tplc="EC50546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F31703"/>
    <w:multiLevelType w:val="multilevel"/>
    <w:tmpl w:val="E91C9C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0762182"/>
    <w:multiLevelType w:val="multilevel"/>
    <w:tmpl w:val="B61248C2"/>
    <w:lvl w:ilvl="0">
      <w:start w:val="1"/>
      <w:numFmt w:val="decimal"/>
      <w:lvlText w:val="%1"/>
      <w:lvlJc w:val="left"/>
      <w:pPr>
        <w:ind w:left="375" w:hanging="375"/>
      </w:pPr>
      <w:rPr>
        <w:rFonts w:hint="default"/>
      </w:rPr>
    </w:lvl>
    <w:lvl w:ilvl="1">
      <w:start w:val="1"/>
      <w:numFmt w:val="upperRoman"/>
      <w:lvlText w:val="%2."/>
      <w:lvlJc w:val="left"/>
      <w:pPr>
        <w:ind w:left="375" w:hanging="37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8825A29"/>
    <w:multiLevelType w:val="hybridMultilevel"/>
    <w:tmpl w:val="4B021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0272C1"/>
    <w:multiLevelType w:val="hybridMultilevel"/>
    <w:tmpl w:val="07661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D45740"/>
    <w:multiLevelType w:val="hybridMultilevel"/>
    <w:tmpl w:val="F09E7AE2"/>
    <w:lvl w:ilvl="0" w:tplc="4CE8BD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20E6C"/>
    <w:multiLevelType w:val="hybridMultilevel"/>
    <w:tmpl w:val="F058FF04"/>
    <w:lvl w:ilvl="0" w:tplc="4CE8BD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81901"/>
    <w:multiLevelType w:val="hybridMultilevel"/>
    <w:tmpl w:val="33107CD0"/>
    <w:lvl w:ilvl="0" w:tplc="A6709DEA">
      <w:start w:val="1"/>
      <w:numFmt w:val="bullet"/>
      <w:pStyle w:val="Giua"/>
      <w:lvlText w:val=""/>
      <w:lvlJc w:val="left"/>
      <w:pPr>
        <w:ind w:left="927" w:hanging="360"/>
      </w:pPr>
      <w:rPr>
        <w:rFonts w:ascii="Wingdings" w:eastAsia="SimSun" w:hAnsi="Wingdings" w:cs="Times New Roman"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68E574DA"/>
    <w:multiLevelType w:val="hybridMultilevel"/>
    <w:tmpl w:val="06C03D16"/>
    <w:lvl w:ilvl="0" w:tplc="072EE4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6516C1"/>
    <w:multiLevelType w:val="hybridMultilevel"/>
    <w:tmpl w:val="B0E00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6911D8"/>
    <w:multiLevelType w:val="hybridMultilevel"/>
    <w:tmpl w:val="51D6DCCE"/>
    <w:lvl w:ilvl="0" w:tplc="76C6E7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5A6EBD"/>
    <w:multiLevelType w:val="hybridMultilevel"/>
    <w:tmpl w:val="FA58C028"/>
    <w:lvl w:ilvl="0" w:tplc="F3165846">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9"/>
  </w:num>
  <w:num w:numId="2">
    <w:abstractNumId w:val="18"/>
  </w:num>
  <w:num w:numId="3">
    <w:abstractNumId w:val="2"/>
  </w:num>
  <w:num w:numId="4">
    <w:abstractNumId w:val="12"/>
  </w:num>
  <w:num w:numId="5">
    <w:abstractNumId w:val="6"/>
  </w:num>
  <w:num w:numId="6">
    <w:abstractNumId w:val="17"/>
  </w:num>
  <w:num w:numId="7">
    <w:abstractNumId w:val="20"/>
  </w:num>
  <w:num w:numId="8">
    <w:abstractNumId w:val="19"/>
  </w:num>
  <w:num w:numId="9">
    <w:abstractNumId w:val="16"/>
  </w:num>
  <w:num w:numId="10">
    <w:abstractNumId w:val="5"/>
  </w:num>
  <w:num w:numId="11">
    <w:abstractNumId w:val="11"/>
  </w:num>
  <w:num w:numId="12">
    <w:abstractNumId w:val="10"/>
  </w:num>
  <w:num w:numId="13">
    <w:abstractNumId w:val="1"/>
  </w:num>
  <w:num w:numId="14">
    <w:abstractNumId w:val="0"/>
  </w:num>
  <w:num w:numId="15">
    <w:abstractNumId w:val="8"/>
  </w:num>
  <w:num w:numId="16">
    <w:abstractNumId w:val="7"/>
  </w:num>
  <w:num w:numId="17">
    <w:abstractNumId w:val="14"/>
  </w:num>
  <w:num w:numId="18">
    <w:abstractNumId w:val="15"/>
  </w:num>
  <w:num w:numId="19">
    <w:abstractNumId w:val="3"/>
  </w:num>
  <w:num w:numId="20">
    <w:abstractNumId w:val="13"/>
  </w:num>
  <w:num w:numId="21">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 BHXH">
    <w15:presenceInfo w15:providerId="None" w15:userId="Tho BHXH"/>
  </w15:person>
  <w15:person w15:author="XUKA">
    <w15:presenceInfo w15:providerId="None" w15:userId="XU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nl-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40"/>
    <w:rsid w:val="00003747"/>
    <w:rsid w:val="00004DD4"/>
    <w:rsid w:val="0000527B"/>
    <w:rsid w:val="00005638"/>
    <w:rsid w:val="00007139"/>
    <w:rsid w:val="00011078"/>
    <w:rsid w:val="0001122B"/>
    <w:rsid w:val="000121D5"/>
    <w:rsid w:val="00013194"/>
    <w:rsid w:val="0001594D"/>
    <w:rsid w:val="000171CC"/>
    <w:rsid w:val="00020059"/>
    <w:rsid w:val="000259D2"/>
    <w:rsid w:val="0003221F"/>
    <w:rsid w:val="000349F8"/>
    <w:rsid w:val="00035DAC"/>
    <w:rsid w:val="00040195"/>
    <w:rsid w:val="00040937"/>
    <w:rsid w:val="00042372"/>
    <w:rsid w:val="00045937"/>
    <w:rsid w:val="00047C9A"/>
    <w:rsid w:val="00050141"/>
    <w:rsid w:val="000522A2"/>
    <w:rsid w:val="00052610"/>
    <w:rsid w:val="000526C3"/>
    <w:rsid w:val="00054D66"/>
    <w:rsid w:val="000553D4"/>
    <w:rsid w:val="00055973"/>
    <w:rsid w:val="0005693E"/>
    <w:rsid w:val="00057085"/>
    <w:rsid w:val="00057D7B"/>
    <w:rsid w:val="00060BE7"/>
    <w:rsid w:val="000635A1"/>
    <w:rsid w:val="00064715"/>
    <w:rsid w:val="00065527"/>
    <w:rsid w:val="00065729"/>
    <w:rsid w:val="00065FE8"/>
    <w:rsid w:val="00070894"/>
    <w:rsid w:val="00070B5A"/>
    <w:rsid w:val="00070E1F"/>
    <w:rsid w:val="000714B0"/>
    <w:rsid w:val="00073E69"/>
    <w:rsid w:val="00074160"/>
    <w:rsid w:val="00075B37"/>
    <w:rsid w:val="00075D29"/>
    <w:rsid w:val="00076EB0"/>
    <w:rsid w:val="00080AC5"/>
    <w:rsid w:val="000823EF"/>
    <w:rsid w:val="000826E2"/>
    <w:rsid w:val="00082C01"/>
    <w:rsid w:val="00085F8D"/>
    <w:rsid w:val="00087DF0"/>
    <w:rsid w:val="00087EC4"/>
    <w:rsid w:val="00091AA9"/>
    <w:rsid w:val="00096A73"/>
    <w:rsid w:val="000A1E4F"/>
    <w:rsid w:val="000A2131"/>
    <w:rsid w:val="000A27DB"/>
    <w:rsid w:val="000A561F"/>
    <w:rsid w:val="000A6437"/>
    <w:rsid w:val="000B0C33"/>
    <w:rsid w:val="000B0C50"/>
    <w:rsid w:val="000B1C3A"/>
    <w:rsid w:val="000B3865"/>
    <w:rsid w:val="000B46BE"/>
    <w:rsid w:val="000B50B0"/>
    <w:rsid w:val="000B771D"/>
    <w:rsid w:val="000C6905"/>
    <w:rsid w:val="000D04C7"/>
    <w:rsid w:val="000D0DE9"/>
    <w:rsid w:val="000D199C"/>
    <w:rsid w:val="000D1CA3"/>
    <w:rsid w:val="000D2066"/>
    <w:rsid w:val="000D3339"/>
    <w:rsid w:val="000D48B0"/>
    <w:rsid w:val="000D5642"/>
    <w:rsid w:val="000D56D8"/>
    <w:rsid w:val="000D5FD5"/>
    <w:rsid w:val="000D7769"/>
    <w:rsid w:val="000D7B5E"/>
    <w:rsid w:val="000E0909"/>
    <w:rsid w:val="000E4220"/>
    <w:rsid w:val="000E7B2A"/>
    <w:rsid w:val="000F19BB"/>
    <w:rsid w:val="000F2E23"/>
    <w:rsid w:val="000F376E"/>
    <w:rsid w:val="000F6466"/>
    <w:rsid w:val="000F7D26"/>
    <w:rsid w:val="001000B3"/>
    <w:rsid w:val="00101874"/>
    <w:rsid w:val="00103485"/>
    <w:rsid w:val="00103EDE"/>
    <w:rsid w:val="001053DD"/>
    <w:rsid w:val="001075C6"/>
    <w:rsid w:val="0011242D"/>
    <w:rsid w:val="00113A9D"/>
    <w:rsid w:val="00114E19"/>
    <w:rsid w:val="0012208B"/>
    <w:rsid w:val="00122787"/>
    <w:rsid w:val="00123457"/>
    <w:rsid w:val="00127301"/>
    <w:rsid w:val="00127958"/>
    <w:rsid w:val="00132A5C"/>
    <w:rsid w:val="00134650"/>
    <w:rsid w:val="0013465F"/>
    <w:rsid w:val="00135825"/>
    <w:rsid w:val="00136761"/>
    <w:rsid w:val="00140671"/>
    <w:rsid w:val="0014087C"/>
    <w:rsid w:val="001421DA"/>
    <w:rsid w:val="0014247C"/>
    <w:rsid w:val="001428A5"/>
    <w:rsid w:val="001429A3"/>
    <w:rsid w:val="00142A1B"/>
    <w:rsid w:val="001430FF"/>
    <w:rsid w:val="00144127"/>
    <w:rsid w:val="00145BEE"/>
    <w:rsid w:val="00145ED6"/>
    <w:rsid w:val="00146090"/>
    <w:rsid w:val="0014633C"/>
    <w:rsid w:val="00147283"/>
    <w:rsid w:val="00152496"/>
    <w:rsid w:val="00155984"/>
    <w:rsid w:val="00155D72"/>
    <w:rsid w:val="001561D1"/>
    <w:rsid w:val="00157EFC"/>
    <w:rsid w:val="00157F57"/>
    <w:rsid w:val="0016026A"/>
    <w:rsid w:val="0016164A"/>
    <w:rsid w:val="00161EF8"/>
    <w:rsid w:val="00162CEB"/>
    <w:rsid w:val="0016559A"/>
    <w:rsid w:val="00165776"/>
    <w:rsid w:val="00166ACE"/>
    <w:rsid w:val="0017045A"/>
    <w:rsid w:val="0017177C"/>
    <w:rsid w:val="00171DD1"/>
    <w:rsid w:val="001725A4"/>
    <w:rsid w:val="0017509F"/>
    <w:rsid w:val="00176ED2"/>
    <w:rsid w:val="00183EAE"/>
    <w:rsid w:val="00184472"/>
    <w:rsid w:val="001847B7"/>
    <w:rsid w:val="001860BC"/>
    <w:rsid w:val="001862A0"/>
    <w:rsid w:val="001875BF"/>
    <w:rsid w:val="00190091"/>
    <w:rsid w:val="00190951"/>
    <w:rsid w:val="00191692"/>
    <w:rsid w:val="00191FD9"/>
    <w:rsid w:val="001922A6"/>
    <w:rsid w:val="00192803"/>
    <w:rsid w:val="00194E86"/>
    <w:rsid w:val="00195AC1"/>
    <w:rsid w:val="001961A8"/>
    <w:rsid w:val="00196F37"/>
    <w:rsid w:val="001A188E"/>
    <w:rsid w:val="001A28AF"/>
    <w:rsid w:val="001A4884"/>
    <w:rsid w:val="001A51E5"/>
    <w:rsid w:val="001A5469"/>
    <w:rsid w:val="001A7696"/>
    <w:rsid w:val="001B04B1"/>
    <w:rsid w:val="001B3418"/>
    <w:rsid w:val="001C36EC"/>
    <w:rsid w:val="001C523D"/>
    <w:rsid w:val="001C7B07"/>
    <w:rsid w:val="001D7DB9"/>
    <w:rsid w:val="001E14D5"/>
    <w:rsid w:val="001E22DA"/>
    <w:rsid w:val="001E502B"/>
    <w:rsid w:val="001E59E3"/>
    <w:rsid w:val="001F2C8E"/>
    <w:rsid w:val="001F3176"/>
    <w:rsid w:val="001F4AB9"/>
    <w:rsid w:val="001F4B51"/>
    <w:rsid w:val="001F7FA9"/>
    <w:rsid w:val="00201049"/>
    <w:rsid w:val="00204826"/>
    <w:rsid w:val="0020548B"/>
    <w:rsid w:val="00205C05"/>
    <w:rsid w:val="00206FD5"/>
    <w:rsid w:val="002071CD"/>
    <w:rsid w:val="00207EFA"/>
    <w:rsid w:val="00207F6E"/>
    <w:rsid w:val="00210CC9"/>
    <w:rsid w:val="00211820"/>
    <w:rsid w:val="00211ACD"/>
    <w:rsid w:val="002125D0"/>
    <w:rsid w:val="0022467A"/>
    <w:rsid w:val="00227102"/>
    <w:rsid w:val="00227733"/>
    <w:rsid w:val="00233341"/>
    <w:rsid w:val="0023523D"/>
    <w:rsid w:val="00236874"/>
    <w:rsid w:val="0024018B"/>
    <w:rsid w:val="00240A9E"/>
    <w:rsid w:val="00242AB7"/>
    <w:rsid w:val="00243C92"/>
    <w:rsid w:val="0024416C"/>
    <w:rsid w:val="00244A63"/>
    <w:rsid w:val="00245B03"/>
    <w:rsid w:val="00247715"/>
    <w:rsid w:val="00247C98"/>
    <w:rsid w:val="002524E5"/>
    <w:rsid w:val="00252E77"/>
    <w:rsid w:val="002562C4"/>
    <w:rsid w:val="00257563"/>
    <w:rsid w:val="00260470"/>
    <w:rsid w:val="00261655"/>
    <w:rsid w:val="00262A44"/>
    <w:rsid w:val="00264102"/>
    <w:rsid w:val="0026413E"/>
    <w:rsid w:val="00267343"/>
    <w:rsid w:val="00270C84"/>
    <w:rsid w:val="00271B2B"/>
    <w:rsid w:val="00274122"/>
    <w:rsid w:val="0027646C"/>
    <w:rsid w:val="0027651F"/>
    <w:rsid w:val="00276666"/>
    <w:rsid w:val="00277980"/>
    <w:rsid w:val="00281C38"/>
    <w:rsid w:val="002820E4"/>
    <w:rsid w:val="00283C82"/>
    <w:rsid w:val="00283D6C"/>
    <w:rsid w:val="00285602"/>
    <w:rsid w:val="00287291"/>
    <w:rsid w:val="002873C2"/>
    <w:rsid w:val="00287AF5"/>
    <w:rsid w:val="00293C01"/>
    <w:rsid w:val="0029724F"/>
    <w:rsid w:val="002A0F13"/>
    <w:rsid w:val="002A30AA"/>
    <w:rsid w:val="002A3204"/>
    <w:rsid w:val="002A3C20"/>
    <w:rsid w:val="002A41F8"/>
    <w:rsid w:val="002A4657"/>
    <w:rsid w:val="002A65AA"/>
    <w:rsid w:val="002B63B6"/>
    <w:rsid w:val="002C0E62"/>
    <w:rsid w:val="002C2588"/>
    <w:rsid w:val="002C3582"/>
    <w:rsid w:val="002C5BE1"/>
    <w:rsid w:val="002D0BCB"/>
    <w:rsid w:val="002D1D87"/>
    <w:rsid w:val="002D63B2"/>
    <w:rsid w:val="002E0019"/>
    <w:rsid w:val="002E0188"/>
    <w:rsid w:val="002E0998"/>
    <w:rsid w:val="002E3486"/>
    <w:rsid w:val="002E5077"/>
    <w:rsid w:val="002E570C"/>
    <w:rsid w:val="002E7344"/>
    <w:rsid w:val="002E75EE"/>
    <w:rsid w:val="002F0324"/>
    <w:rsid w:val="002F2A0F"/>
    <w:rsid w:val="002F3BF4"/>
    <w:rsid w:val="002F6318"/>
    <w:rsid w:val="002F7EF6"/>
    <w:rsid w:val="00301868"/>
    <w:rsid w:val="00302C7D"/>
    <w:rsid w:val="00302E8C"/>
    <w:rsid w:val="00303D89"/>
    <w:rsid w:val="00303E8E"/>
    <w:rsid w:val="003057AD"/>
    <w:rsid w:val="00306489"/>
    <w:rsid w:val="00306AC4"/>
    <w:rsid w:val="00306D89"/>
    <w:rsid w:val="00315458"/>
    <w:rsid w:val="003170DF"/>
    <w:rsid w:val="00320D8D"/>
    <w:rsid w:val="00324130"/>
    <w:rsid w:val="0033057B"/>
    <w:rsid w:val="00333DBD"/>
    <w:rsid w:val="003436F3"/>
    <w:rsid w:val="00345D83"/>
    <w:rsid w:val="003501E4"/>
    <w:rsid w:val="003550D9"/>
    <w:rsid w:val="0035622C"/>
    <w:rsid w:val="00357AA2"/>
    <w:rsid w:val="003645DB"/>
    <w:rsid w:val="0036564D"/>
    <w:rsid w:val="003669C2"/>
    <w:rsid w:val="0037488D"/>
    <w:rsid w:val="00375A14"/>
    <w:rsid w:val="0038032D"/>
    <w:rsid w:val="00380D48"/>
    <w:rsid w:val="00380FD0"/>
    <w:rsid w:val="00380FF1"/>
    <w:rsid w:val="003816E3"/>
    <w:rsid w:val="003819A6"/>
    <w:rsid w:val="00385690"/>
    <w:rsid w:val="003901E9"/>
    <w:rsid w:val="0039316B"/>
    <w:rsid w:val="00395736"/>
    <w:rsid w:val="003964B3"/>
    <w:rsid w:val="00397C3D"/>
    <w:rsid w:val="003A004C"/>
    <w:rsid w:val="003A1013"/>
    <w:rsid w:val="003A1A99"/>
    <w:rsid w:val="003A4EED"/>
    <w:rsid w:val="003A505A"/>
    <w:rsid w:val="003A5152"/>
    <w:rsid w:val="003A7B41"/>
    <w:rsid w:val="003B1010"/>
    <w:rsid w:val="003B2E7F"/>
    <w:rsid w:val="003B3A5C"/>
    <w:rsid w:val="003B3CE2"/>
    <w:rsid w:val="003C166A"/>
    <w:rsid w:val="003C1701"/>
    <w:rsid w:val="003C1FC0"/>
    <w:rsid w:val="003C2424"/>
    <w:rsid w:val="003C512D"/>
    <w:rsid w:val="003C6152"/>
    <w:rsid w:val="003C69F0"/>
    <w:rsid w:val="003C777D"/>
    <w:rsid w:val="003D18AF"/>
    <w:rsid w:val="003D4DCD"/>
    <w:rsid w:val="003D533B"/>
    <w:rsid w:val="003D785E"/>
    <w:rsid w:val="003E0A95"/>
    <w:rsid w:val="003E0B43"/>
    <w:rsid w:val="003E25AE"/>
    <w:rsid w:val="003E378D"/>
    <w:rsid w:val="003E4726"/>
    <w:rsid w:val="003E476F"/>
    <w:rsid w:val="003E58AD"/>
    <w:rsid w:val="003E65BF"/>
    <w:rsid w:val="003E6F76"/>
    <w:rsid w:val="003F08D2"/>
    <w:rsid w:val="003F10BB"/>
    <w:rsid w:val="003F2821"/>
    <w:rsid w:val="003F6AA3"/>
    <w:rsid w:val="00400AB2"/>
    <w:rsid w:val="00402415"/>
    <w:rsid w:val="00402E20"/>
    <w:rsid w:val="00403DE5"/>
    <w:rsid w:val="004065F1"/>
    <w:rsid w:val="00406FEC"/>
    <w:rsid w:val="00407A90"/>
    <w:rsid w:val="0041225F"/>
    <w:rsid w:val="00412414"/>
    <w:rsid w:val="004125A2"/>
    <w:rsid w:val="004156A9"/>
    <w:rsid w:val="00415865"/>
    <w:rsid w:val="00416C82"/>
    <w:rsid w:val="00420BEA"/>
    <w:rsid w:val="00420C23"/>
    <w:rsid w:val="00423D27"/>
    <w:rsid w:val="00424AD6"/>
    <w:rsid w:val="00424C07"/>
    <w:rsid w:val="00426620"/>
    <w:rsid w:val="004271AB"/>
    <w:rsid w:val="00431761"/>
    <w:rsid w:val="00431E7A"/>
    <w:rsid w:val="00434833"/>
    <w:rsid w:val="004352F7"/>
    <w:rsid w:val="00435F36"/>
    <w:rsid w:val="004379BB"/>
    <w:rsid w:val="00442289"/>
    <w:rsid w:val="00443052"/>
    <w:rsid w:val="004449E7"/>
    <w:rsid w:val="00444FDF"/>
    <w:rsid w:val="00446D36"/>
    <w:rsid w:val="0044710D"/>
    <w:rsid w:val="004507F9"/>
    <w:rsid w:val="00451B5D"/>
    <w:rsid w:val="00452EA8"/>
    <w:rsid w:val="00454FAD"/>
    <w:rsid w:val="00455841"/>
    <w:rsid w:val="00455C85"/>
    <w:rsid w:val="004602C3"/>
    <w:rsid w:val="00460BB5"/>
    <w:rsid w:val="00460CEA"/>
    <w:rsid w:val="00463113"/>
    <w:rsid w:val="00467544"/>
    <w:rsid w:val="00473201"/>
    <w:rsid w:val="00473681"/>
    <w:rsid w:val="00473792"/>
    <w:rsid w:val="00475085"/>
    <w:rsid w:val="00475158"/>
    <w:rsid w:val="00480A0A"/>
    <w:rsid w:val="00480BC3"/>
    <w:rsid w:val="00482F0F"/>
    <w:rsid w:val="00483587"/>
    <w:rsid w:val="00483C1B"/>
    <w:rsid w:val="00483D9A"/>
    <w:rsid w:val="00485620"/>
    <w:rsid w:val="0049016B"/>
    <w:rsid w:val="0049306E"/>
    <w:rsid w:val="0049390E"/>
    <w:rsid w:val="00494805"/>
    <w:rsid w:val="00496C0B"/>
    <w:rsid w:val="00497DCE"/>
    <w:rsid w:val="004A0393"/>
    <w:rsid w:val="004A1199"/>
    <w:rsid w:val="004A5DD9"/>
    <w:rsid w:val="004A7D69"/>
    <w:rsid w:val="004B0DFA"/>
    <w:rsid w:val="004B1978"/>
    <w:rsid w:val="004B1FFE"/>
    <w:rsid w:val="004B51F0"/>
    <w:rsid w:val="004B7FBE"/>
    <w:rsid w:val="004C1A15"/>
    <w:rsid w:val="004C5782"/>
    <w:rsid w:val="004C5B17"/>
    <w:rsid w:val="004C6A65"/>
    <w:rsid w:val="004C7DFA"/>
    <w:rsid w:val="004E0C91"/>
    <w:rsid w:val="004E4FD1"/>
    <w:rsid w:val="004E59DB"/>
    <w:rsid w:val="004E5A22"/>
    <w:rsid w:val="004F0C6F"/>
    <w:rsid w:val="004F158C"/>
    <w:rsid w:val="004F4799"/>
    <w:rsid w:val="004F4C33"/>
    <w:rsid w:val="00502D98"/>
    <w:rsid w:val="00502F47"/>
    <w:rsid w:val="00503937"/>
    <w:rsid w:val="00504656"/>
    <w:rsid w:val="00505997"/>
    <w:rsid w:val="0050716F"/>
    <w:rsid w:val="00512677"/>
    <w:rsid w:val="005127C3"/>
    <w:rsid w:val="00515C7B"/>
    <w:rsid w:val="00517FE1"/>
    <w:rsid w:val="0052013C"/>
    <w:rsid w:val="005206BD"/>
    <w:rsid w:val="00522576"/>
    <w:rsid w:val="00522D14"/>
    <w:rsid w:val="005230A6"/>
    <w:rsid w:val="00525A56"/>
    <w:rsid w:val="00525D85"/>
    <w:rsid w:val="005267FB"/>
    <w:rsid w:val="00527E18"/>
    <w:rsid w:val="005302E5"/>
    <w:rsid w:val="00530C7A"/>
    <w:rsid w:val="00533D10"/>
    <w:rsid w:val="005343BD"/>
    <w:rsid w:val="0053496D"/>
    <w:rsid w:val="005375A6"/>
    <w:rsid w:val="00537D60"/>
    <w:rsid w:val="005413CA"/>
    <w:rsid w:val="0054496C"/>
    <w:rsid w:val="005476DB"/>
    <w:rsid w:val="00550025"/>
    <w:rsid w:val="0055085B"/>
    <w:rsid w:val="00552454"/>
    <w:rsid w:val="0055643E"/>
    <w:rsid w:val="00557322"/>
    <w:rsid w:val="005603CD"/>
    <w:rsid w:val="005640CC"/>
    <w:rsid w:val="00564EBC"/>
    <w:rsid w:val="005668C6"/>
    <w:rsid w:val="005670E1"/>
    <w:rsid w:val="0056771F"/>
    <w:rsid w:val="005677B6"/>
    <w:rsid w:val="00567982"/>
    <w:rsid w:val="0057041E"/>
    <w:rsid w:val="00571590"/>
    <w:rsid w:val="00572474"/>
    <w:rsid w:val="00572D10"/>
    <w:rsid w:val="00574336"/>
    <w:rsid w:val="00575574"/>
    <w:rsid w:val="005757D6"/>
    <w:rsid w:val="005759E6"/>
    <w:rsid w:val="00576996"/>
    <w:rsid w:val="00581152"/>
    <w:rsid w:val="005828FB"/>
    <w:rsid w:val="00583C4B"/>
    <w:rsid w:val="00584080"/>
    <w:rsid w:val="005846C8"/>
    <w:rsid w:val="0058666D"/>
    <w:rsid w:val="005867E3"/>
    <w:rsid w:val="00587ADA"/>
    <w:rsid w:val="00590E52"/>
    <w:rsid w:val="00590F88"/>
    <w:rsid w:val="00592622"/>
    <w:rsid w:val="00593465"/>
    <w:rsid w:val="0059371B"/>
    <w:rsid w:val="00593DC1"/>
    <w:rsid w:val="005A0AB5"/>
    <w:rsid w:val="005A161D"/>
    <w:rsid w:val="005A20A3"/>
    <w:rsid w:val="005A23E9"/>
    <w:rsid w:val="005A66E7"/>
    <w:rsid w:val="005B238D"/>
    <w:rsid w:val="005B263D"/>
    <w:rsid w:val="005B3C0E"/>
    <w:rsid w:val="005B5B71"/>
    <w:rsid w:val="005B616E"/>
    <w:rsid w:val="005C3E97"/>
    <w:rsid w:val="005C565B"/>
    <w:rsid w:val="005C6198"/>
    <w:rsid w:val="005C6DED"/>
    <w:rsid w:val="005C6EBF"/>
    <w:rsid w:val="005D0D60"/>
    <w:rsid w:val="005D2D36"/>
    <w:rsid w:val="005D3E50"/>
    <w:rsid w:val="005E0D79"/>
    <w:rsid w:val="005E1500"/>
    <w:rsid w:val="005E15B2"/>
    <w:rsid w:val="005E2D1E"/>
    <w:rsid w:val="005E2F20"/>
    <w:rsid w:val="005E3907"/>
    <w:rsid w:val="005E5968"/>
    <w:rsid w:val="005E7412"/>
    <w:rsid w:val="005F020E"/>
    <w:rsid w:val="005F0397"/>
    <w:rsid w:val="005F073F"/>
    <w:rsid w:val="005F49DF"/>
    <w:rsid w:val="005F5000"/>
    <w:rsid w:val="005F6727"/>
    <w:rsid w:val="00601446"/>
    <w:rsid w:val="006040FC"/>
    <w:rsid w:val="006053B9"/>
    <w:rsid w:val="00610572"/>
    <w:rsid w:val="00610A86"/>
    <w:rsid w:val="00611B61"/>
    <w:rsid w:val="00614E8C"/>
    <w:rsid w:val="0061614B"/>
    <w:rsid w:val="006163B5"/>
    <w:rsid w:val="00616435"/>
    <w:rsid w:val="0061764B"/>
    <w:rsid w:val="006207AF"/>
    <w:rsid w:val="00622B10"/>
    <w:rsid w:val="00627DCC"/>
    <w:rsid w:val="006317AB"/>
    <w:rsid w:val="006345AD"/>
    <w:rsid w:val="00634DAE"/>
    <w:rsid w:val="00635CCC"/>
    <w:rsid w:val="006360F1"/>
    <w:rsid w:val="00641B20"/>
    <w:rsid w:val="006421AE"/>
    <w:rsid w:val="00643F0E"/>
    <w:rsid w:val="00646939"/>
    <w:rsid w:val="0065134C"/>
    <w:rsid w:val="00653213"/>
    <w:rsid w:val="00653471"/>
    <w:rsid w:val="00654121"/>
    <w:rsid w:val="00655356"/>
    <w:rsid w:val="00655B75"/>
    <w:rsid w:val="00656C72"/>
    <w:rsid w:val="00657435"/>
    <w:rsid w:val="0066063E"/>
    <w:rsid w:val="00660B41"/>
    <w:rsid w:val="006611F7"/>
    <w:rsid w:val="00663235"/>
    <w:rsid w:val="00663836"/>
    <w:rsid w:val="00664C99"/>
    <w:rsid w:val="00666194"/>
    <w:rsid w:val="00666E83"/>
    <w:rsid w:val="00666FFE"/>
    <w:rsid w:val="006670AF"/>
    <w:rsid w:val="00670EF7"/>
    <w:rsid w:val="006712D2"/>
    <w:rsid w:val="006716EF"/>
    <w:rsid w:val="00672549"/>
    <w:rsid w:val="006736AB"/>
    <w:rsid w:val="00673C6A"/>
    <w:rsid w:val="00674AE1"/>
    <w:rsid w:val="00676693"/>
    <w:rsid w:val="0068060C"/>
    <w:rsid w:val="006818EE"/>
    <w:rsid w:val="00682FE4"/>
    <w:rsid w:val="006847BC"/>
    <w:rsid w:val="006859AF"/>
    <w:rsid w:val="00685B48"/>
    <w:rsid w:val="00686033"/>
    <w:rsid w:val="00695F8B"/>
    <w:rsid w:val="00696D1E"/>
    <w:rsid w:val="006978A4"/>
    <w:rsid w:val="006A080A"/>
    <w:rsid w:val="006A14E6"/>
    <w:rsid w:val="006A1B4A"/>
    <w:rsid w:val="006A40C1"/>
    <w:rsid w:val="006A7608"/>
    <w:rsid w:val="006B056D"/>
    <w:rsid w:val="006B05EA"/>
    <w:rsid w:val="006B22EA"/>
    <w:rsid w:val="006B24A0"/>
    <w:rsid w:val="006B301F"/>
    <w:rsid w:val="006B5CAA"/>
    <w:rsid w:val="006B67BE"/>
    <w:rsid w:val="006C2FA1"/>
    <w:rsid w:val="006C4FBC"/>
    <w:rsid w:val="006C7F1E"/>
    <w:rsid w:val="006D37E8"/>
    <w:rsid w:val="006D609C"/>
    <w:rsid w:val="006D66C4"/>
    <w:rsid w:val="006E01B1"/>
    <w:rsid w:val="006E0897"/>
    <w:rsid w:val="006E1A03"/>
    <w:rsid w:val="006E1A5A"/>
    <w:rsid w:val="006E2F16"/>
    <w:rsid w:val="006E4592"/>
    <w:rsid w:val="006E54E3"/>
    <w:rsid w:val="006E7B44"/>
    <w:rsid w:val="006F3EBE"/>
    <w:rsid w:val="006F6DC0"/>
    <w:rsid w:val="006F774E"/>
    <w:rsid w:val="006F7E8B"/>
    <w:rsid w:val="00701982"/>
    <w:rsid w:val="00702D35"/>
    <w:rsid w:val="007038AB"/>
    <w:rsid w:val="007042DD"/>
    <w:rsid w:val="00704628"/>
    <w:rsid w:val="0070781D"/>
    <w:rsid w:val="0071345F"/>
    <w:rsid w:val="00714843"/>
    <w:rsid w:val="00714B44"/>
    <w:rsid w:val="00716DFF"/>
    <w:rsid w:val="007210CA"/>
    <w:rsid w:val="00722A7A"/>
    <w:rsid w:val="007244A7"/>
    <w:rsid w:val="007270FC"/>
    <w:rsid w:val="00727265"/>
    <w:rsid w:val="0073030B"/>
    <w:rsid w:val="00730E5D"/>
    <w:rsid w:val="007324B6"/>
    <w:rsid w:val="00732635"/>
    <w:rsid w:val="00732867"/>
    <w:rsid w:val="00732FAD"/>
    <w:rsid w:val="00735F6C"/>
    <w:rsid w:val="00736352"/>
    <w:rsid w:val="0073652B"/>
    <w:rsid w:val="00736AA5"/>
    <w:rsid w:val="00737A98"/>
    <w:rsid w:val="00740877"/>
    <w:rsid w:val="0074538D"/>
    <w:rsid w:val="00745519"/>
    <w:rsid w:val="00747807"/>
    <w:rsid w:val="007500DA"/>
    <w:rsid w:val="0075432E"/>
    <w:rsid w:val="0075477D"/>
    <w:rsid w:val="00755424"/>
    <w:rsid w:val="007558B0"/>
    <w:rsid w:val="00757217"/>
    <w:rsid w:val="0076109E"/>
    <w:rsid w:val="00761F8D"/>
    <w:rsid w:val="00763377"/>
    <w:rsid w:val="00767940"/>
    <w:rsid w:val="00770A52"/>
    <w:rsid w:val="00771A95"/>
    <w:rsid w:val="00771FBA"/>
    <w:rsid w:val="007722A3"/>
    <w:rsid w:val="00772EE8"/>
    <w:rsid w:val="00773F8F"/>
    <w:rsid w:val="00775137"/>
    <w:rsid w:val="007756D7"/>
    <w:rsid w:val="00775C20"/>
    <w:rsid w:val="007771FF"/>
    <w:rsid w:val="00780262"/>
    <w:rsid w:val="00780D88"/>
    <w:rsid w:val="007819E1"/>
    <w:rsid w:val="00783C16"/>
    <w:rsid w:val="00785FFC"/>
    <w:rsid w:val="007873D0"/>
    <w:rsid w:val="00787E55"/>
    <w:rsid w:val="0079129A"/>
    <w:rsid w:val="0079344D"/>
    <w:rsid w:val="007943EA"/>
    <w:rsid w:val="00795EDE"/>
    <w:rsid w:val="007968E5"/>
    <w:rsid w:val="007A05E9"/>
    <w:rsid w:val="007A156E"/>
    <w:rsid w:val="007B258B"/>
    <w:rsid w:val="007B3290"/>
    <w:rsid w:val="007B40F9"/>
    <w:rsid w:val="007C0E46"/>
    <w:rsid w:val="007C2005"/>
    <w:rsid w:val="007C2A72"/>
    <w:rsid w:val="007C59C4"/>
    <w:rsid w:val="007C688D"/>
    <w:rsid w:val="007C74E6"/>
    <w:rsid w:val="007D09B1"/>
    <w:rsid w:val="007D1F21"/>
    <w:rsid w:val="007D4027"/>
    <w:rsid w:val="007D4471"/>
    <w:rsid w:val="007D45F1"/>
    <w:rsid w:val="007D4C68"/>
    <w:rsid w:val="007D57DF"/>
    <w:rsid w:val="007D6E4E"/>
    <w:rsid w:val="007D7D32"/>
    <w:rsid w:val="007D7D68"/>
    <w:rsid w:val="007D7E2D"/>
    <w:rsid w:val="007E4079"/>
    <w:rsid w:val="007F2323"/>
    <w:rsid w:val="007F3648"/>
    <w:rsid w:val="007F38A9"/>
    <w:rsid w:val="007F4A8E"/>
    <w:rsid w:val="007F56F7"/>
    <w:rsid w:val="00801295"/>
    <w:rsid w:val="00801F42"/>
    <w:rsid w:val="008022EF"/>
    <w:rsid w:val="00802402"/>
    <w:rsid w:val="00807ACD"/>
    <w:rsid w:val="00811686"/>
    <w:rsid w:val="008138D8"/>
    <w:rsid w:val="008140CE"/>
    <w:rsid w:val="00814C7C"/>
    <w:rsid w:val="00815004"/>
    <w:rsid w:val="0081540C"/>
    <w:rsid w:val="008162B8"/>
    <w:rsid w:val="00817D93"/>
    <w:rsid w:val="00817DD0"/>
    <w:rsid w:val="00823082"/>
    <w:rsid w:val="00825406"/>
    <w:rsid w:val="008266B5"/>
    <w:rsid w:val="00830098"/>
    <w:rsid w:val="00831712"/>
    <w:rsid w:val="00832049"/>
    <w:rsid w:val="008320C7"/>
    <w:rsid w:val="008362E1"/>
    <w:rsid w:val="008401AC"/>
    <w:rsid w:val="008416B0"/>
    <w:rsid w:val="00843030"/>
    <w:rsid w:val="00843084"/>
    <w:rsid w:val="00845367"/>
    <w:rsid w:val="008461D8"/>
    <w:rsid w:val="00850A1A"/>
    <w:rsid w:val="0085198D"/>
    <w:rsid w:val="008556DF"/>
    <w:rsid w:val="00855C15"/>
    <w:rsid w:val="0085683F"/>
    <w:rsid w:val="008603F8"/>
    <w:rsid w:val="008648B5"/>
    <w:rsid w:val="00866D0A"/>
    <w:rsid w:val="00867472"/>
    <w:rsid w:val="0087304C"/>
    <w:rsid w:val="00873CB0"/>
    <w:rsid w:val="008753C5"/>
    <w:rsid w:val="00877D38"/>
    <w:rsid w:val="008801DE"/>
    <w:rsid w:val="00880687"/>
    <w:rsid w:val="00881042"/>
    <w:rsid w:val="00884097"/>
    <w:rsid w:val="0088423C"/>
    <w:rsid w:val="00884499"/>
    <w:rsid w:val="00886BB6"/>
    <w:rsid w:val="0088777F"/>
    <w:rsid w:val="00887ED8"/>
    <w:rsid w:val="008902D0"/>
    <w:rsid w:val="00890C90"/>
    <w:rsid w:val="008915D2"/>
    <w:rsid w:val="00896349"/>
    <w:rsid w:val="008976D5"/>
    <w:rsid w:val="008A09D4"/>
    <w:rsid w:val="008A0C5F"/>
    <w:rsid w:val="008A0D10"/>
    <w:rsid w:val="008A329B"/>
    <w:rsid w:val="008A37A0"/>
    <w:rsid w:val="008A422B"/>
    <w:rsid w:val="008A44EF"/>
    <w:rsid w:val="008A4C74"/>
    <w:rsid w:val="008A6FBA"/>
    <w:rsid w:val="008A7318"/>
    <w:rsid w:val="008B2EF4"/>
    <w:rsid w:val="008B358D"/>
    <w:rsid w:val="008B5540"/>
    <w:rsid w:val="008B6071"/>
    <w:rsid w:val="008C1F7A"/>
    <w:rsid w:val="008C206F"/>
    <w:rsid w:val="008C266B"/>
    <w:rsid w:val="008C6302"/>
    <w:rsid w:val="008C70AF"/>
    <w:rsid w:val="008D41DF"/>
    <w:rsid w:val="008D42CE"/>
    <w:rsid w:val="008D788F"/>
    <w:rsid w:val="008E0A15"/>
    <w:rsid w:val="008E18F0"/>
    <w:rsid w:val="008E7AC3"/>
    <w:rsid w:val="008F2550"/>
    <w:rsid w:val="008F456D"/>
    <w:rsid w:val="008F4874"/>
    <w:rsid w:val="008F56C9"/>
    <w:rsid w:val="009001A5"/>
    <w:rsid w:val="00900C04"/>
    <w:rsid w:val="00903F88"/>
    <w:rsid w:val="0090571A"/>
    <w:rsid w:val="00907524"/>
    <w:rsid w:val="009116DD"/>
    <w:rsid w:val="00911844"/>
    <w:rsid w:val="00915B57"/>
    <w:rsid w:val="00916502"/>
    <w:rsid w:val="00920618"/>
    <w:rsid w:val="009207A4"/>
    <w:rsid w:val="00922675"/>
    <w:rsid w:val="009239B1"/>
    <w:rsid w:val="00924B69"/>
    <w:rsid w:val="00924C9D"/>
    <w:rsid w:val="0092540E"/>
    <w:rsid w:val="009261C5"/>
    <w:rsid w:val="00926943"/>
    <w:rsid w:val="0092731E"/>
    <w:rsid w:val="00927849"/>
    <w:rsid w:val="009323D9"/>
    <w:rsid w:val="009404C2"/>
    <w:rsid w:val="00942111"/>
    <w:rsid w:val="009427FC"/>
    <w:rsid w:val="00942887"/>
    <w:rsid w:val="00943FF3"/>
    <w:rsid w:val="00944034"/>
    <w:rsid w:val="0094611F"/>
    <w:rsid w:val="0095067D"/>
    <w:rsid w:val="00951F45"/>
    <w:rsid w:val="009531AB"/>
    <w:rsid w:val="00955C36"/>
    <w:rsid w:val="009573E5"/>
    <w:rsid w:val="00957605"/>
    <w:rsid w:val="0096171A"/>
    <w:rsid w:val="009622C1"/>
    <w:rsid w:val="0096249F"/>
    <w:rsid w:val="00964F3A"/>
    <w:rsid w:val="00965354"/>
    <w:rsid w:val="00967AC7"/>
    <w:rsid w:val="009742DB"/>
    <w:rsid w:val="009770BF"/>
    <w:rsid w:val="0098013B"/>
    <w:rsid w:val="00980A06"/>
    <w:rsid w:val="00983D7E"/>
    <w:rsid w:val="00983EB0"/>
    <w:rsid w:val="009869DC"/>
    <w:rsid w:val="0099131E"/>
    <w:rsid w:val="009930B7"/>
    <w:rsid w:val="009941FF"/>
    <w:rsid w:val="009A1418"/>
    <w:rsid w:val="009A19ED"/>
    <w:rsid w:val="009A1F5A"/>
    <w:rsid w:val="009A243A"/>
    <w:rsid w:val="009A2C6E"/>
    <w:rsid w:val="009A2D79"/>
    <w:rsid w:val="009A6A1B"/>
    <w:rsid w:val="009A6F09"/>
    <w:rsid w:val="009B0ACC"/>
    <w:rsid w:val="009B266A"/>
    <w:rsid w:val="009B3587"/>
    <w:rsid w:val="009B5AF1"/>
    <w:rsid w:val="009C4891"/>
    <w:rsid w:val="009C7F11"/>
    <w:rsid w:val="009D022F"/>
    <w:rsid w:val="009D4586"/>
    <w:rsid w:val="009D47A0"/>
    <w:rsid w:val="009D519C"/>
    <w:rsid w:val="009D5D5B"/>
    <w:rsid w:val="009E1BDE"/>
    <w:rsid w:val="009E5C33"/>
    <w:rsid w:val="009F09A2"/>
    <w:rsid w:val="009F38D8"/>
    <w:rsid w:val="009F57CD"/>
    <w:rsid w:val="009F63D8"/>
    <w:rsid w:val="009F75E3"/>
    <w:rsid w:val="00A004B0"/>
    <w:rsid w:val="00A0144B"/>
    <w:rsid w:val="00A01B68"/>
    <w:rsid w:val="00A02462"/>
    <w:rsid w:val="00A04D5E"/>
    <w:rsid w:val="00A04F69"/>
    <w:rsid w:val="00A05452"/>
    <w:rsid w:val="00A05898"/>
    <w:rsid w:val="00A06D92"/>
    <w:rsid w:val="00A07ED4"/>
    <w:rsid w:val="00A13B68"/>
    <w:rsid w:val="00A14045"/>
    <w:rsid w:val="00A175CD"/>
    <w:rsid w:val="00A17E7E"/>
    <w:rsid w:val="00A2021E"/>
    <w:rsid w:val="00A21686"/>
    <w:rsid w:val="00A216B4"/>
    <w:rsid w:val="00A22A2D"/>
    <w:rsid w:val="00A23AEC"/>
    <w:rsid w:val="00A23B44"/>
    <w:rsid w:val="00A25E87"/>
    <w:rsid w:val="00A26CD4"/>
    <w:rsid w:val="00A30A9C"/>
    <w:rsid w:val="00A30BE3"/>
    <w:rsid w:val="00A322F0"/>
    <w:rsid w:val="00A34BAC"/>
    <w:rsid w:val="00A35FCD"/>
    <w:rsid w:val="00A37C89"/>
    <w:rsid w:val="00A4416A"/>
    <w:rsid w:val="00A44CEB"/>
    <w:rsid w:val="00A46D1E"/>
    <w:rsid w:val="00A50976"/>
    <w:rsid w:val="00A509C4"/>
    <w:rsid w:val="00A601EC"/>
    <w:rsid w:val="00A66259"/>
    <w:rsid w:val="00A66469"/>
    <w:rsid w:val="00A66523"/>
    <w:rsid w:val="00A72A6A"/>
    <w:rsid w:val="00A72D99"/>
    <w:rsid w:val="00A730DC"/>
    <w:rsid w:val="00A73C73"/>
    <w:rsid w:val="00A75C74"/>
    <w:rsid w:val="00A7624F"/>
    <w:rsid w:val="00A76C8D"/>
    <w:rsid w:val="00A773E7"/>
    <w:rsid w:val="00A77780"/>
    <w:rsid w:val="00A77D64"/>
    <w:rsid w:val="00A81676"/>
    <w:rsid w:val="00A83A62"/>
    <w:rsid w:val="00A83C16"/>
    <w:rsid w:val="00A84525"/>
    <w:rsid w:val="00A874E3"/>
    <w:rsid w:val="00A87938"/>
    <w:rsid w:val="00A87C49"/>
    <w:rsid w:val="00A93701"/>
    <w:rsid w:val="00A940AD"/>
    <w:rsid w:val="00A94633"/>
    <w:rsid w:val="00A95248"/>
    <w:rsid w:val="00AA01FB"/>
    <w:rsid w:val="00AA0C64"/>
    <w:rsid w:val="00AA1819"/>
    <w:rsid w:val="00AA1C22"/>
    <w:rsid w:val="00AA3F76"/>
    <w:rsid w:val="00AA4A0A"/>
    <w:rsid w:val="00AA609C"/>
    <w:rsid w:val="00AA6C76"/>
    <w:rsid w:val="00AB07D8"/>
    <w:rsid w:val="00AB1AD5"/>
    <w:rsid w:val="00AB3F1F"/>
    <w:rsid w:val="00AB69F9"/>
    <w:rsid w:val="00AC0970"/>
    <w:rsid w:val="00AC2A6D"/>
    <w:rsid w:val="00AC61DA"/>
    <w:rsid w:val="00AD11D0"/>
    <w:rsid w:val="00AD1B27"/>
    <w:rsid w:val="00AD26E5"/>
    <w:rsid w:val="00AD2A35"/>
    <w:rsid w:val="00AD3B04"/>
    <w:rsid w:val="00AD3C15"/>
    <w:rsid w:val="00AD3E79"/>
    <w:rsid w:val="00AD4618"/>
    <w:rsid w:val="00AD5E25"/>
    <w:rsid w:val="00AD66E3"/>
    <w:rsid w:val="00AD6CA0"/>
    <w:rsid w:val="00AD7C11"/>
    <w:rsid w:val="00AE1D3E"/>
    <w:rsid w:val="00AE50B3"/>
    <w:rsid w:val="00AE51C4"/>
    <w:rsid w:val="00AE7A5D"/>
    <w:rsid w:val="00AF075B"/>
    <w:rsid w:val="00AF0D31"/>
    <w:rsid w:val="00AF1B23"/>
    <w:rsid w:val="00AF1D76"/>
    <w:rsid w:val="00AF43F6"/>
    <w:rsid w:val="00AF4566"/>
    <w:rsid w:val="00AF4CA8"/>
    <w:rsid w:val="00AF5B80"/>
    <w:rsid w:val="00AF62D9"/>
    <w:rsid w:val="00AF6D95"/>
    <w:rsid w:val="00B00452"/>
    <w:rsid w:val="00B00A0E"/>
    <w:rsid w:val="00B01F4A"/>
    <w:rsid w:val="00B03FA5"/>
    <w:rsid w:val="00B05D96"/>
    <w:rsid w:val="00B05DB9"/>
    <w:rsid w:val="00B06884"/>
    <w:rsid w:val="00B1146E"/>
    <w:rsid w:val="00B120D0"/>
    <w:rsid w:val="00B12F44"/>
    <w:rsid w:val="00B17669"/>
    <w:rsid w:val="00B22450"/>
    <w:rsid w:val="00B2776A"/>
    <w:rsid w:val="00B348E2"/>
    <w:rsid w:val="00B355D8"/>
    <w:rsid w:val="00B35AFE"/>
    <w:rsid w:val="00B36F84"/>
    <w:rsid w:val="00B37458"/>
    <w:rsid w:val="00B41F75"/>
    <w:rsid w:val="00B43F10"/>
    <w:rsid w:val="00B44F28"/>
    <w:rsid w:val="00B4524A"/>
    <w:rsid w:val="00B455E1"/>
    <w:rsid w:val="00B470A7"/>
    <w:rsid w:val="00B4725F"/>
    <w:rsid w:val="00B47BAE"/>
    <w:rsid w:val="00B505FD"/>
    <w:rsid w:val="00B506DD"/>
    <w:rsid w:val="00B510B9"/>
    <w:rsid w:val="00B5273E"/>
    <w:rsid w:val="00B550EA"/>
    <w:rsid w:val="00B555A7"/>
    <w:rsid w:val="00B629B2"/>
    <w:rsid w:val="00B63A1B"/>
    <w:rsid w:val="00B6419B"/>
    <w:rsid w:val="00B67029"/>
    <w:rsid w:val="00B6721B"/>
    <w:rsid w:val="00B710F8"/>
    <w:rsid w:val="00B736C2"/>
    <w:rsid w:val="00B73DA6"/>
    <w:rsid w:val="00B73E51"/>
    <w:rsid w:val="00B75775"/>
    <w:rsid w:val="00B77850"/>
    <w:rsid w:val="00B80AA0"/>
    <w:rsid w:val="00B819EA"/>
    <w:rsid w:val="00B8255B"/>
    <w:rsid w:val="00B84912"/>
    <w:rsid w:val="00B85AAD"/>
    <w:rsid w:val="00B901F6"/>
    <w:rsid w:val="00B94A11"/>
    <w:rsid w:val="00B95155"/>
    <w:rsid w:val="00B9789F"/>
    <w:rsid w:val="00B97E1E"/>
    <w:rsid w:val="00BA1230"/>
    <w:rsid w:val="00BB1139"/>
    <w:rsid w:val="00BB1F2C"/>
    <w:rsid w:val="00BB2943"/>
    <w:rsid w:val="00BB4D31"/>
    <w:rsid w:val="00BB59AC"/>
    <w:rsid w:val="00BB7B75"/>
    <w:rsid w:val="00BC05AB"/>
    <w:rsid w:val="00BC16C8"/>
    <w:rsid w:val="00BC2888"/>
    <w:rsid w:val="00BC28B1"/>
    <w:rsid w:val="00BC2F51"/>
    <w:rsid w:val="00BC33C7"/>
    <w:rsid w:val="00BC43B6"/>
    <w:rsid w:val="00BC4EC6"/>
    <w:rsid w:val="00BD225E"/>
    <w:rsid w:val="00BD3B68"/>
    <w:rsid w:val="00BD3D90"/>
    <w:rsid w:val="00BD499C"/>
    <w:rsid w:val="00BE1CB8"/>
    <w:rsid w:val="00BE265F"/>
    <w:rsid w:val="00BF10BD"/>
    <w:rsid w:val="00BF30C0"/>
    <w:rsid w:val="00BF77CA"/>
    <w:rsid w:val="00C00983"/>
    <w:rsid w:val="00C00A9B"/>
    <w:rsid w:val="00C0126D"/>
    <w:rsid w:val="00C01356"/>
    <w:rsid w:val="00C020AC"/>
    <w:rsid w:val="00C03F3A"/>
    <w:rsid w:val="00C0433B"/>
    <w:rsid w:val="00C10293"/>
    <w:rsid w:val="00C11EAB"/>
    <w:rsid w:val="00C20902"/>
    <w:rsid w:val="00C21876"/>
    <w:rsid w:val="00C21CCA"/>
    <w:rsid w:val="00C21F39"/>
    <w:rsid w:val="00C2364E"/>
    <w:rsid w:val="00C23964"/>
    <w:rsid w:val="00C252C5"/>
    <w:rsid w:val="00C25553"/>
    <w:rsid w:val="00C27FBD"/>
    <w:rsid w:val="00C31B71"/>
    <w:rsid w:val="00C3203E"/>
    <w:rsid w:val="00C33362"/>
    <w:rsid w:val="00C37EC4"/>
    <w:rsid w:val="00C40B74"/>
    <w:rsid w:val="00C436D8"/>
    <w:rsid w:val="00C45BC5"/>
    <w:rsid w:val="00C4606D"/>
    <w:rsid w:val="00C460D0"/>
    <w:rsid w:val="00C46B5B"/>
    <w:rsid w:val="00C46C50"/>
    <w:rsid w:val="00C50AF0"/>
    <w:rsid w:val="00C518E0"/>
    <w:rsid w:val="00C5268B"/>
    <w:rsid w:val="00C567E3"/>
    <w:rsid w:val="00C63511"/>
    <w:rsid w:val="00C63E54"/>
    <w:rsid w:val="00C63EF1"/>
    <w:rsid w:val="00C65961"/>
    <w:rsid w:val="00C70C75"/>
    <w:rsid w:val="00C720AA"/>
    <w:rsid w:val="00C724A1"/>
    <w:rsid w:val="00C728ED"/>
    <w:rsid w:val="00C7293B"/>
    <w:rsid w:val="00C74012"/>
    <w:rsid w:val="00C74131"/>
    <w:rsid w:val="00C74CC0"/>
    <w:rsid w:val="00C74E04"/>
    <w:rsid w:val="00C754B9"/>
    <w:rsid w:val="00C77BA8"/>
    <w:rsid w:val="00C77F52"/>
    <w:rsid w:val="00C81052"/>
    <w:rsid w:val="00C831D7"/>
    <w:rsid w:val="00C833B8"/>
    <w:rsid w:val="00C87BB5"/>
    <w:rsid w:val="00C9050C"/>
    <w:rsid w:val="00C943FE"/>
    <w:rsid w:val="00C94834"/>
    <w:rsid w:val="00C95CD0"/>
    <w:rsid w:val="00C97290"/>
    <w:rsid w:val="00CA04E5"/>
    <w:rsid w:val="00CA12B9"/>
    <w:rsid w:val="00CA190A"/>
    <w:rsid w:val="00CA204E"/>
    <w:rsid w:val="00CA507C"/>
    <w:rsid w:val="00CB18DF"/>
    <w:rsid w:val="00CB2722"/>
    <w:rsid w:val="00CB3A6B"/>
    <w:rsid w:val="00CB41D9"/>
    <w:rsid w:val="00CC2421"/>
    <w:rsid w:val="00CC28D6"/>
    <w:rsid w:val="00CC327B"/>
    <w:rsid w:val="00CC4849"/>
    <w:rsid w:val="00CC51D2"/>
    <w:rsid w:val="00CC7FC5"/>
    <w:rsid w:val="00CD6F9D"/>
    <w:rsid w:val="00CD6FC3"/>
    <w:rsid w:val="00CE145A"/>
    <w:rsid w:val="00CE32DC"/>
    <w:rsid w:val="00CE3722"/>
    <w:rsid w:val="00CE39DB"/>
    <w:rsid w:val="00CE4467"/>
    <w:rsid w:val="00CF08CE"/>
    <w:rsid w:val="00CF0C7A"/>
    <w:rsid w:val="00CF1668"/>
    <w:rsid w:val="00CF220C"/>
    <w:rsid w:val="00CF296A"/>
    <w:rsid w:val="00CF321F"/>
    <w:rsid w:val="00CF5A66"/>
    <w:rsid w:val="00CF6C6C"/>
    <w:rsid w:val="00CF6DDD"/>
    <w:rsid w:val="00D01417"/>
    <w:rsid w:val="00D024A4"/>
    <w:rsid w:val="00D03C25"/>
    <w:rsid w:val="00D066C1"/>
    <w:rsid w:val="00D111DA"/>
    <w:rsid w:val="00D13935"/>
    <w:rsid w:val="00D146DE"/>
    <w:rsid w:val="00D14D11"/>
    <w:rsid w:val="00D150C5"/>
    <w:rsid w:val="00D16427"/>
    <w:rsid w:val="00D16D24"/>
    <w:rsid w:val="00D16E72"/>
    <w:rsid w:val="00D21538"/>
    <w:rsid w:val="00D21697"/>
    <w:rsid w:val="00D223B2"/>
    <w:rsid w:val="00D22BE8"/>
    <w:rsid w:val="00D22FB4"/>
    <w:rsid w:val="00D232B1"/>
    <w:rsid w:val="00D23770"/>
    <w:rsid w:val="00D2580D"/>
    <w:rsid w:val="00D25EEB"/>
    <w:rsid w:val="00D261AF"/>
    <w:rsid w:val="00D27A0A"/>
    <w:rsid w:val="00D31E08"/>
    <w:rsid w:val="00D3290A"/>
    <w:rsid w:val="00D32CC5"/>
    <w:rsid w:val="00D36ED1"/>
    <w:rsid w:val="00D404CD"/>
    <w:rsid w:val="00D41EDE"/>
    <w:rsid w:val="00D42433"/>
    <w:rsid w:val="00D43409"/>
    <w:rsid w:val="00D44952"/>
    <w:rsid w:val="00D45972"/>
    <w:rsid w:val="00D465CC"/>
    <w:rsid w:val="00D4668A"/>
    <w:rsid w:val="00D50775"/>
    <w:rsid w:val="00D5107C"/>
    <w:rsid w:val="00D52DF8"/>
    <w:rsid w:val="00D531E3"/>
    <w:rsid w:val="00D53544"/>
    <w:rsid w:val="00D61181"/>
    <w:rsid w:val="00D65C30"/>
    <w:rsid w:val="00D66771"/>
    <w:rsid w:val="00D66775"/>
    <w:rsid w:val="00D70898"/>
    <w:rsid w:val="00D7218B"/>
    <w:rsid w:val="00D726B3"/>
    <w:rsid w:val="00D7562F"/>
    <w:rsid w:val="00D77DAB"/>
    <w:rsid w:val="00D80F0E"/>
    <w:rsid w:val="00D81167"/>
    <w:rsid w:val="00D82BA4"/>
    <w:rsid w:val="00D85030"/>
    <w:rsid w:val="00D85C4A"/>
    <w:rsid w:val="00D86491"/>
    <w:rsid w:val="00D918EF"/>
    <w:rsid w:val="00D959D8"/>
    <w:rsid w:val="00D96209"/>
    <w:rsid w:val="00D96219"/>
    <w:rsid w:val="00D96A82"/>
    <w:rsid w:val="00D97616"/>
    <w:rsid w:val="00DA1B7F"/>
    <w:rsid w:val="00DA3815"/>
    <w:rsid w:val="00DA4F01"/>
    <w:rsid w:val="00DA5D1D"/>
    <w:rsid w:val="00DA772E"/>
    <w:rsid w:val="00DB2507"/>
    <w:rsid w:val="00DB4BD7"/>
    <w:rsid w:val="00DB51A3"/>
    <w:rsid w:val="00DB73AA"/>
    <w:rsid w:val="00DC1F66"/>
    <w:rsid w:val="00DC2CB9"/>
    <w:rsid w:val="00DC3365"/>
    <w:rsid w:val="00DC414D"/>
    <w:rsid w:val="00DC5CF8"/>
    <w:rsid w:val="00DC6267"/>
    <w:rsid w:val="00DC6821"/>
    <w:rsid w:val="00DC7B76"/>
    <w:rsid w:val="00DD28CB"/>
    <w:rsid w:val="00DD3E48"/>
    <w:rsid w:val="00DD7042"/>
    <w:rsid w:val="00DE431B"/>
    <w:rsid w:val="00DE7949"/>
    <w:rsid w:val="00DF2D2E"/>
    <w:rsid w:val="00DF367E"/>
    <w:rsid w:val="00DF38D4"/>
    <w:rsid w:val="00DF3A8E"/>
    <w:rsid w:val="00DF4049"/>
    <w:rsid w:val="00DF4717"/>
    <w:rsid w:val="00DF4767"/>
    <w:rsid w:val="00DF7C0D"/>
    <w:rsid w:val="00E00E87"/>
    <w:rsid w:val="00E05053"/>
    <w:rsid w:val="00E06A7D"/>
    <w:rsid w:val="00E07D1A"/>
    <w:rsid w:val="00E2271C"/>
    <w:rsid w:val="00E22AC6"/>
    <w:rsid w:val="00E22E7F"/>
    <w:rsid w:val="00E24A78"/>
    <w:rsid w:val="00E26A4E"/>
    <w:rsid w:val="00E2774F"/>
    <w:rsid w:val="00E30427"/>
    <w:rsid w:val="00E312A8"/>
    <w:rsid w:val="00E31C1C"/>
    <w:rsid w:val="00E33495"/>
    <w:rsid w:val="00E40BC8"/>
    <w:rsid w:val="00E47995"/>
    <w:rsid w:val="00E47C5C"/>
    <w:rsid w:val="00E51752"/>
    <w:rsid w:val="00E527B4"/>
    <w:rsid w:val="00E53A7C"/>
    <w:rsid w:val="00E53B3B"/>
    <w:rsid w:val="00E55FD2"/>
    <w:rsid w:val="00E601E5"/>
    <w:rsid w:val="00E60BC3"/>
    <w:rsid w:val="00E618B1"/>
    <w:rsid w:val="00E62B51"/>
    <w:rsid w:val="00E64398"/>
    <w:rsid w:val="00E64DAD"/>
    <w:rsid w:val="00E65AE0"/>
    <w:rsid w:val="00E67529"/>
    <w:rsid w:val="00E708ED"/>
    <w:rsid w:val="00E720B4"/>
    <w:rsid w:val="00E73CEF"/>
    <w:rsid w:val="00E7433F"/>
    <w:rsid w:val="00E7673F"/>
    <w:rsid w:val="00E818FC"/>
    <w:rsid w:val="00E81AF2"/>
    <w:rsid w:val="00E86BCE"/>
    <w:rsid w:val="00E87E0D"/>
    <w:rsid w:val="00E90AF5"/>
    <w:rsid w:val="00E90C08"/>
    <w:rsid w:val="00E9107B"/>
    <w:rsid w:val="00E935F6"/>
    <w:rsid w:val="00E96683"/>
    <w:rsid w:val="00E97BF3"/>
    <w:rsid w:val="00E97D43"/>
    <w:rsid w:val="00EA021A"/>
    <w:rsid w:val="00EA0229"/>
    <w:rsid w:val="00EA20F4"/>
    <w:rsid w:val="00EA3BCC"/>
    <w:rsid w:val="00EA4174"/>
    <w:rsid w:val="00EB0DB2"/>
    <w:rsid w:val="00EB3D01"/>
    <w:rsid w:val="00EB4389"/>
    <w:rsid w:val="00EB4D6F"/>
    <w:rsid w:val="00EB5818"/>
    <w:rsid w:val="00EB6283"/>
    <w:rsid w:val="00EC066E"/>
    <w:rsid w:val="00EC1D15"/>
    <w:rsid w:val="00EC29A8"/>
    <w:rsid w:val="00EC37A4"/>
    <w:rsid w:val="00ED381C"/>
    <w:rsid w:val="00ED3F3E"/>
    <w:rsid w:val="00ED430F"/>
    <w:rsid w:val="00ED6DCD"/>
    <w:rsid w:val="00ED74AF"/>
    <w:rsid w:val="00ED7BD9"/>
    <w:rsid w:val="00EE23F2"/>
    <w:rsid w:val="00EE3DD0"/>
    <w:rsid w:val="00EE4A37"/>
    <w:rsid w:val="00EE5C1C"/>
    <w:rsid w:val="00EE5EDD"/>
    <w:rsid w:val="00EF1A4C"/>
    <w:rsid w:val="00EF683D"/>
    <w:rsid w:val="00F009C5"/>
    <w:rsid w:val="00F026D5"/>
    <w:rsid w:val="00F02BA2"/>
    <w:rsid w:val="00F035E4"/>
    <w:rsid w:val="00F06612"/>
    <w:rsid w:val="00F0745E"/>
    <w:rsid w:val="00F079F5"/>
    <w:rsid w:val="00F07A7A"/>
    <w:rsid w:val="00F121A1"/>
    <w:rsid w:val="00F12C20"/>
    <w:rsid w:val="00F1386D"/>
    <w:rsid w:val="00F13DD3"/>
    <w:rsid w:val="00F176A5"/>
    <w:rsid w:val="00F22785"/>
    <w:rsid w:val="00F230F9"/>
    <w:rsid w:val="00F23734"/>
    <w:rsid w:val="00F23ACB"/>
    <w:rsid w:val="00F24DF5"/>
    <w:rsid w:val="00F3086C"/>
    <w:rsid w:val="00F313E7"/>
    <w:rsid w:val="00F31516"/>
    <w:rsid w:val="00F31A69"/>
    <w:rsid w:val="00F33DBE"/>
    <w:rsid w:val="00F33F6B"/>
    <w:rsid w:val="00F345B4"/>
    <w:rsid w:val="00F34830"/>
    <w:rsid w:val="00F34C0D"/>
    <w:rsid w:val="00F34D54"/>
    <w:rsid w:val="00F34D9A"/>
    <w:rsid w:val="00F37AC1"/>
    <w:rsid w:val="00F429CE"/>
    <w:rsid w:val="00F51B96"/>
    <w:rsid w:val="00F5348F"/>
    <w:rsid w:val="00F54878"/>
    <w:rsid w:val="00F55D15"/>
    <w:rsid w:val="00F55FC9"/>
    <w:rsid w:val="00F563BB"/>
    <w:rsid w:val="00F57307"/>
    <w:rsid w:val="00F61379"/>
    <w:rsid w:val="00F61871"/>
    <w:rsid w:val="00F61A17"/>
    <w:rsid w:val="00F63D00"/>
    <w:rsid w:val="00F64C7A"/>
    <w:rsid w:val="00F6529C"/>
    <w:rsid w:val="00F671B3"/>
    <w:rsid w:val="00F7043D"/>
    <w:rsid w:val="00F71DD8"/>
    <w:rsid w:val="00F73E84"/>
    <w:rsid w:val="00F76956"/>
    <w:rsid w:val="00F76AE6"/>
    <w:rsid w:val="00F77321"/>
    <w:rsid w:val="00F7761F"/>
    <w:rsid w:val="00F77D15"/>
    <w:rsid w:val="00F81452"/>
    <w:rsid w:val="00F81821"/>
    <w:rsid w:val="00F853FA"/>
    <w:rsid w:val="00F9124A"/>
    <w:rsid w:val="00F92FE6"/>
    <w:rsid w:val="00F942B9"/>
    <w:rsid w:val="00F95DC0"/>
    <w:rsid w:val="00F97123"/>
    <w:rsid w:val="00FA09F8"/>
    <w:rsid w:val="00FA0BC5"/>
    <w:rsid w:val="00FA306C"/>
    <w:rsid w:val="00FA49AD"/>
    <w:rsid w:val="00FA7AD3"/>
    <w:rsid w:val="00FB0E9B"/>
    <w:rsid w:val="00FB0EEF"/>
    <w:rsid w:val="00FB1F78"/>
    <w:rsid w:val="00FB2905"/>
    <w:rsid w:val="00FB2A41"/>
    <w:rsid w:val="00FB44C7"/>
    <w:rsid w:val="00FC3361"/>
    <w:rsid w:val="00FC494E"/>
    <w:rsid w:val="00FD018C"/>
    <w:rsid w:val="00FD3BB6"/>
    <w:rsid w:val="00FD6360"/>
    <w:rsid w:val="00FD6FEB"/>
    <w:rsid w:val="00FE012D"/>
    <w:rsid w:val="00FE0D06"/>
    <w:rsid w:val="00FE1AFE"/>
    <w:rsid w:val="00FE2DE1"/>
    <w:rsid w:val="00FE3681"/>
    <w:rsid w:val="00FE5F5E"/>
    <w:rsid w:val="00FE7FAB"/>
    <w:rsid w:val="00FF05F5"/>
    <w:rsid w:val="00FF061B"/>
    <w:rsid w:val="00FF60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3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8D4"/>
    <w:pPr>
      <w:spacing w:after="120" w:line="264" w:lineRule="auto"/>
      <w:ind w:firstLine="720"/>
      <w:jc w:val="both"/>
    </w:pPr>
    <w:rPr>
      <w:sz w:val="28"/>
      <w:szCs w:val="28"/>
      <w:lang w:val="es-ES" w:eastAsia="en-US"/>
    </w:rPr>
  </w:style>
  <w:style w:type="paragraph" w:styleId="Heading1">
    <w:name w:val="heading 1"/>
    <w:basedOn w:val="Normal"/>
    <w:next w:val="Normal"/>
    <w:link w:val="Heading1Char"/>
    <w:qFormat/>
    <w:rsid w:val="00CB18DF"/>
    <w:pPr>
      <w:keepNext/>
      <w:keepLines/>
      <w:ind w:firstLine="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nhideWhenUsed/>
    <w:qFormat/>
    <w:rsid w:val="00CB18DF"/>
    <w:pPr>
      <w:keepNext/>
      <w:keepLines/>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CB18DF"/>
    <w:pPr>
      <w:keepNext/>
      <w:keepLines/>
      <w:outlineLvl w:val="2"/>
    </w:pPr>
    <w:rPr>
      <w:rFonts w:asciiTheme="majorHAnsi" w:eastAsiaTheme="majorEastAsia" w:hAnsiTheme="majorHAnsi" w:cstheme="majorBidi"/>
      <w:b/>
      <w:szCs w:val="24"/>
    </w:rPr>
  </w:style>
  <w:style w:type="paragraph" w:styleId="Heading4">
    <w:name w:val="heading 4"/>
    <w:basedOn w:val="Normal"/>
    <w:next w:val="Normal"/>
    <w:qFormat/>
    <w:rsid w:val="001875BF"/>
    <w:pPr>
      <w:keepNext/>
      <w:outlineLvl w:val="3"/>
    </w:pPr>
    <w:rPr>
      <w:rFonts w:asciiTheme="majorHAnsi" w:hAnsiTheme="majorHAnsi"/>
      <w:b/>
      <w:i/>
      <w:szCs w:val="20"/>
    </w:rPr>
  </w:style>
  <w:style w:type="paragraph" w:styleId="Heading5">
    <w:name w:val="heading 5"/>
    <w:basedOn w:val="Normal"/>
    <w:next w:val="Normal"/>
    <w:qFormat/>
    <w:rsid w:val="007C74E6"/>
    <w:pPr>
      <w:keepNext/>
      <w:spacing w:before="120" w:line="360" w:lineRule="exact"/>
      <w:jc w:val="center"/>
      <w:outlineLvl w:val="4"/>
    </w:pPr>
    <w:rPr>
      <w:rFonts w:ascii=".VnArialH" w:hAnsi=".VnArialH"/>
      <w:b/>
      <w:sz w:val="24"/>
      <w:szCs w:val="20"/>
    </w:rPr>
  </w:style>
  <w:style w:type="paragraph" w:styleId="Heading8">
    <w:name w:val="heading 8"/>
    <w:basedOn w:val="Normal"/>
    <w:next w:val="Normal"/>
    <w:qFormat/>
    <w:rsid w:val="007C74E6"/>
    <w:pPr>
      <w:keepNext/>
      <w:jc w:val="center"/>
      <w:outlineLvl w:val="7"/>
    </w:pPr>
    <w:rPr>
      <w:rFonts w:ascii=".VnTimeH" w:hAnsi=".VnTime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3D27"/>
    <w:pPr>
      <w:tabs>
        <w:tab w:val="center" w:pos="4320"/>
        <w:tab w:val="right" w:pos="8640"/>
      </w:tabs>
    </w:pPr>
  </w:style>
  <w:style w:type="character" w:styleId="PageNumber">
    <w:name w:val="page number"/>
    <w:basedOn w:val="DefaultParagraphFont"/>
    <w:rsid w:val="00423D27"/>
  </w:style>
  <w:style w:type="paragraph" w:styleId="BodyText">
    <w:name w:val="Body Text"/>
    <w:basedOn w:val="Normal"/>
    <w:link w:val="BodyTextChar"/>
    <w:rsid w:val="00443052"/>
    <w:rPr>
      <w:rFonts w:ascii=".VnTime" w:hAnsi=".VnTime"/>
      <w:szCs w:val="20"/>
      <w:lang w:eastAsia="en-AU"/>
    </w:rPr>
  </w:style>
  <w:style w:type="character" w:customStyle="1" w:styleId="BodyTextChar">
    <w:name w:val="Body Text Char"/>
    <w:basedOn w:val="DefaultParagraphFont"/>
    <w:link w:val="BodyText"/>
    <w:rsid w:val="0049306E"/>
    <w:rPr>
      <w:rFonts w:ascii=".VnTime" w:hAnsi=".VnTime"/>
      <w:sz w:val="28"/>
      <w:lang w:val="en-US" w:eastAsia="en-AU" w:bidi="ar-SA"/>
    </w:rPr>
  </w:style>
  <w:style w:type="table" w:styleId="TableGrid">
    <w:name w:val="Table Grid"/>
    <w:basedOn w:val="TableNormal"/>
    <w:rsid w:val="00686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C777D"/>
    <w:rPr>
      <w:rFonts w:ascii="Tahoma" w:hAnsi="Tahoma" w:cs="Tahoma"/>
      <w:sz w:val="16"/>
      <w:szCs w:val="16"/>
    </w:rPr>
  </w:style>
  <w:style w:type="paragraph" w:styleId="BodyTextIndent2">
    <w:name w:val="Body Text Indent 2"/>
    <w:basedOn w:val="Normal"/>
    <w:link w:val="BodyTextIndent2Char"/>
    <w:rsid w:val="00B94A11"/>
    <w:pPr>
      <w:spacing w:before="120"/>
    </w:pPr>
    <w:rPr>
      <w:rFonts w:ascii=".VnTime" w:hAnsi=".VnTime"/>
      <w:szCs w:val="20"/>
    </w:rPr>
  </w:style>
  <w:style w:type="paragraph" w:styleId="BodyText2">
    <w:name w:val="Body Text 2"/>
    <w:basedOn w:val="Normal"/>
    <w:rsid w:val="00B94A11"/>
    <w:pPr>
      <w:spacing w:before="120" w:line="288" w:lineRule="auto"/>
    </w:pPr>
    <w:rPr>
      <w:rFonts w:ascii=".VnTime" w:hAnsi=".VnTime"/>
      <w:szCs w:val="20"/>
    </w:rPr>
  </w:style>
  <w:style w:type="paragraph" w:styleId="BodyTextIndent">
    <w:name w:val="Body Text Indent"/>
    <w:basedOn w:val="Normal"/>
    <w:link w:val="BodyTextIndentChar"/>
    <w:rsid w:val="00825406"/>
    <w:rPr>
      <w:rFonts w:ascii=".VnTimeH" w:hAnsi=".VnTimeH"/>
      <w:sz w:val="26"/>
      <w:szCs w:val="20"/>
      <w:lang w:val="x-none" w:eastAsia="x-none"/>
    </w:rPr>
  </w:style>
  <w:style w:type="paragraph" w:customStyle="1" w:styleId="n-dieund">
    <w:name w:val="n-dieund"/>
    <w:basedOn w:val="Normal"/>
    <w:rsid w:val="00825406"/>
    <w:pPr>
      <w:ind w:firstLine="709"/>
    </w:pPr>
    <w:rPr>
      <w:rFonts w:ascii=".VnTime" w:eastAsia="MS Mincho" w:hAnsi=".VnTime"/>
      <w:szCs w:val="20"/>
      <w:lang w:eastAsia="ja-JP"/>
    </w:rPr>
  </w:style>
  <w:style w:type="character" w:styleId="Hyperlink">
    <w:name w:val="Hyperlink"/>
    <w:basedOn w:val="DefaultParagraphFont"/>
    <w:uiPriority w:val="99"/>
    <w:rsid w:val="00A874E3"/>
    <w:rPr>
      <w:color w:val="0000FF"/>
      <w:u w:val="single"/>
    </w:rPr>
  </w:style>
  <w:style w:type="character" w:customStyle="1" w:styleId="hl">
    <w:name w:val="hl"/>
    <w:basedOn w:val="DefaultParagraphFont"/>
    <w:rsid w:val="00A874E3"/>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9941FF"/>
    <w:rPr>
      <w:sz w:val="20"/>
      <w:szCs w:val="20"/>
    </w:rPr>
  </w:style>
  <w:style w:type="character" w:styleId="FootnoteReference">
    <w:name w:val="footnote reference"/>
    <w:aliases w:val="Footnote,Footnote text,ftref,16 Point,Superscript 6 Point,Ref,de nota al pie,Footnote text + 13 pt,BearingPoint,fr,Footnote Text1,(NECG) Footnote Reference,BVI fnr,footnote ref,10 p,Footnote + Arial,10 pt,4_,E FNZ,4_G,Footnote di"/>
    <w:basedOn w:val="DefaultParagraphFont"/>
    <w:rsid w:val="009941FF"/>
    <w:rPr>
      <w:vertAlign w:val="superscript"/>
    </w:rPr>
  </w:style>
  <w:style w:type="paragraph" w:customStyle="1" w:styleId="n-dieu">
    <w:name w:val="n-dieu"/>
    <w:basedOn w:val="Normal"/>
    <w:rsid w:val="009941FF"/>
    <w:pPr>
      <w:spacing w:before="180"/>
      <w:ind w:firstLine="709"/>
    </w:pPr>
    <w:rPr>
      <w:rFonts w:ascii=".VnTime" w:eastAsia="MS Mincho" w:hAnsi=".VnTime"/>
      <w:b/>
      <w:i/>
      <w:szCs w:val="20"/>
      <w:lang w:val="it-IT" w:eastAsia="ja-JP"/>
    </w:rPr>
  </w:style>
  <w:style w:type="paragraph" w:styleId="Header">
    <w:name w:val="header"/>
    <w:basedOn w:val="Normal"/>
    <w:link w:val="HeaderChar"/>
    <w:uiPriority w:val="99"/>
    <w:rsid w:val="00A94633"/>
    <w:pPr>
      <w:tabs>
        <w:tab w:val="center" w:pos="4320"/>
        <w:tab w:val="right" w:pos="8640"/>
      </w:tabs>
    </w:p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E7344"/>
  </w:style>
  <w:style w:type="paragraph" w:customStyle="1" w:styleId="CharCharChar">
    <w:name w:val="Char Char Char"/>
    <w:basedOn w:val="Normal"/>
    <w:semiHidden/>
    <w:rsid w:val="00673C6A"/>
    <w:pPr>
      <w:pageBreakBefore/>
      <w:spacing w:before="100" w:beforeAutospacing="1" w:after="100" w:afterAutospacing="1"/>
    </w:pPr>
    <w:rPr>
      <w:rFonts w:ascii="Tahoma" w:hAnsi="Tahoma"/>
      <w:sz w:val="20"/>
      <w:szCs w:val="20"/>
    </w:rPr>
  </w:style>
  <w:style w:type="paragraph" w:styleId="NormalWeb">
    <w:name w:val="Normal (Web)"/>
    <w:basedOn w:val="Normal"/>
    <w:uiPriority w:val="99"/>
    <w:rsid w:val="005B263D"/>
    <w:pPr>
      <w:spacing w:before="100" w:beforeAutospacing="1" w:after="100" w:afterAutospacing="1"/>
    </w:pPr>
    <w:rPr>
      <w:sz w:val="24"/>
      <w:szCs w:val="24"/>
    </w:rPr>
  </w:style>
  <w:style w:type="paragraph" w:customStyle="1" w:styleId="Char">
    <w:name w:val="Char"/>
    <w:basedOn w:val="Normal"/>
    <w:semiHidden/>
    <w:rsid w:val="00EB6283"/>
    <w:pPr>
      <w:pageBreakBefore/>
      <w:spacing w:before="100" w:beforeAutospacing="1" w:after="100" w:afterAutospacing="1"/>
    </w:pPr>
    <w:rPr>
      <w:rFonts w:ascii="Tahoma" w:hAnsi="Tahoma"/>
      <w:sz w:val="20"/>
      <w:szCs w:val="20"/>
    </w:rPr>
  </w:style>
  <w:style w:type="paragraph" w:customStyle="1" w:styleId="Bngbiu">
    <w:name w:val="Bảng biểu"/>
    <w:basedOn w:val="Normal"/>
    <w:autoRedefine/>
    <w:rsid w:val="00BD3B68"/>
    <w:pPr>
      <w:spacing w:before="120" w:line="288" w:lineRule="auto"/>
      <w:jc w:val="right"/>
    </w:pPr>
    <w:rPr>
      <w:bCs/>
      <w:i/>
      <w:szCs w:val="20"/>
      <w:lang w:val="nl-NL" w:eastAsia="zh-CN"/>
    </w:rPr>
  </w:style>
  <w:style w:type="character" w:customStyle="1" w:styleId="normal-h">
    <w:name w:val="normal-h"/>
    <w:basedOn w:val="DefaultParagraphFont"/>
    <w:rsid w:val="00065FE8"/>
  </w:style>
  <w:style w:type="paragraph" w:customStyle="1" w:styleId="Giua">
    <w:name w:val="Giua"/>
    <w:basedOn w:val="Normal"/>
    <w:autoRedefine/>
    <w:rsid w:val="002C2588"/>
    <w:pPr>
      <w:numPr>
        <w:numId w:val="9"/>
      </w:numPr>
      <w:tabs>
        <w:tab w:val="left" w:pos="900"/>
      </w:tabs>
      <w:spacing w:before="120" w:line="288" w:lineRule="auto"/>
    </w:pPr>
    <w:rPr>
      <w:b/>
      <w:spacing w:val="24"/>
      <w:szCs w:val="24"/>
      <w:lang w:val="nl-NL"/>
    </w:rPr>
  </w:style>
  <w:style w:type="paragraph" w:customStyle="1" w:styleId="dieu">
    <w:name w:val="dieu"/>
    <w:basedOn w:val="Giua"/>
    <w:link w:val="dieuChar"/>
    <w:autoRedefine/>
    <w:rsid w:val="002C2588"/>
    <w:pPr>
      <w:ind w:firstLine="720"/>
    </w:pPr>
    <w:rPr>
      <w:sz w:val="26"/>
      <w:szCs w:val="26"/>
    </w:rPr>
  </w:style>
  <w:style w:type="character" w:customStyle="1" w:styleId="dieuChar">
    <w:name w:val="dieu Char"/>
    <w:basedOn w:val="DefaultParagraphFont"/>
    <w:link w:val="dieu"/>
    <w:rsid w:val="002C2588"/>
    <w:rPr>
      <w:b/>
      <w:spacing w:val="24"/>
      <w:sz w:val="26"/>
      <w:szCs w:val="26"/>
      <w:lang w:val="nl-NL"/>
    </w:rPr>
  </w:style>
  <w:style w:type="character" w:customStyle="1" w:styleId="BodyTextIndent2Char">
    <w:name w:val="Body Text Indent 2 Char"/>
    <w:basedOn w:val="DefaultParagraphFont"/>
    <w:link w:val="BodyTextIndent2"/>
    <w:rsid w:val="00CF1668"/>
    <w:rPr>
      <w:rFonts w:ascii=".VnTime" w:hAnsi=".VnTime"/>
      <w:sz w:val="28"/>
    </w:rPr>
  </w:style>
  <w:style w:type="character" w:customStyle="1" w:styleId="BodyTextIndentChar">
    <w:name w:val="Body Text Indent Char"/>
    <w:link w:val="BodyTextIndent"/>
    <w:rsid w:val="00F7761F"/>
    <w:rPr>
      <w:rFonts w:ascii=".VnTimeH" w:hAnsi=".VnTimeH"/>
      <w:sz w:val="26"/>
    </w:rPr>
  </w:style>
  <w:style w:type="paragraph" w:styleId="ListParagraph">
    <w:name w:val="List Paragraph"/>
    <w:basedOn w:val="Normal"/>
    <w:uiPriority w:val="34"/>
    <w:qFormat/>
    <w:rsid w:val="00ED74AF"/>
    <w:pPr>
      <w:spacing w:after="200" w:line="276" w:lineRule="auto"/>
      <w:ind w:left="720"/>
      <w:contextualSpacing/>
    </w:pPr>
    <w:rPr>
      <w:rFonts w:eastAsia="Calibri"/>
    </w:rPr>
  </w:style>
  <w:style w:type="character" w:customStyle="1" w:styleId="st">
    <w:name w:val="st"/>
    <w:basedOn w:val="DefaultParagraphFont"/>
    <w:rsid w:val="00DC3365"/>
  </w:style>
  <w:style w:type="character" w:styleId="Emphasis">
    <w:name w:val="Emphasis"/>
    <w:basedOn w:val="DefaultParagraphFont"/>
    <w:rsid w:val="00DC3365"/>
    <w:rPr>
      <w:i/>
      <w:iCs/>
    </w:rPr>
  </w:style>
  <w:style w:type="character" w:customStyle="1" w:styleId="docsearchtitle">
    <w:name w:val="docsearchtitle"/>
    <w:basedOn w:val="DefaultParagraphFont"/>
    <w:rsid w:val="00A2021E"/>
  </w:style>
  <w:style w:type="character" w:customStyle="1" w:styleId="Heading1Char">
    <w:name w:val="Heading 1 Char"/>
    <w:basedOn w:val="DefaultParagraphFont"/>
    <w:link w:val="Heading1"/>
    <w:rsid w:val="00CB18DF"/>
    <w:rPr>
      <w:rFonts w:asciiTheme="majorHAnsi" w:eastAsiaTheme="majorEastAsia" w:hAnsiTheme="majorHAnsi" w:cstheme="majorBidi"/>
      <w:b/>
      <w:sz w:val="28"/>
      <w:szCs w:val="32"/>
      <w:lang w:val="es-ES" w:eastAsia="en-US"/>
    </w:rPr>
  </w:style>
  <w:style w:type="character" w:customStyle="1" w:styleId="Heading2Char">
    <w:name w:val="Heading 2 Char"/>
    <w:basedOn w:val="DefaultParagraphFont"/>
    <w:link w:val="Heading2"/>
    <w:rsid w:val="00CB18DF"/>
    <w:rPr>
      <w:rFonts w:asciiTheme="majorHAnsi" w:eastAsiaTheme="majorEastAsia" w:hAnsiTheme="majorHAnsi" w:cstheme="majorBidi"/>
      <w:b/>
      <w:sz w:val="24"/>
      <w:szCs w:val="26"/>
      <w:lang w:val="es-ES" w:eastAsia="en-US"/>
    </w:rPr>
  </w:style>
  <w:style w:type="character" w:customStyle="1" w:styleId="Heading3Char">
    <w:name w:val="Heading 3 Char"/>
    <w:basedOn w:val="DefaultParagraphFont"/>
    <w:link w:val="Heading3"/>
    <w:rsid w:val="00CB18DF"/>
    <w:rPr>
      <w:rFonts w:asciiTheme="majorHAnsi" w:eastAsiaTheme="majorEastAsia" w:hAnsiTheme="majorHAnsi" w:cstheme="majorBidi"/>
      <w:b/>
      <w:sz w:val="28"/>
      <w:szCs w:val="24"/>
      <w:lang w:val="es-ES" w:eastAsia="en-US"/>
    </w:rPr>
  </w:style>
  <w:style w:type="character" w:styleId="CommentReference">
    <w:name w:val="annotation reference"/>
    <w:basedOn w:val="DefaultParagraphFont"/>
    <w:uiPriority w:val="99"/>
    <w:rsid w:val="00EC37A4"/>
    <w:rPr>
      <w:sz w:val="16"/>
      <w:szCs w:val="16"/>
    </w:rPr>
  </w:style>
  <w:style w:type="paragraph" w:styleId="CommentText">
    <w:name w:val="annotation text"/>
    <w:basedOn w:val="Normal"/>
    <w:link w:val="CommentTextChar"/>
    <w:uiPriority w:val="99"/>
    <w:rsid w:val="00EC37A4"/>
    <w:pPr>
      <w:spacing w:line="240" w:lineRule="auto"/>
    </w:pPr>
    <w:rPr>
      <w:sz w:val="20"/>
      <w:szCs w:val="20"/>
    </w:rPr>
  </w:style>
  <w:style w:type="character" w:customStyle="1" w:styleId="CommentTextChar">
    <w:name w:val="Comment Text Char"/>
    <w:basedOn w:val="DefaultParagraphFont"/>
    <w:link w:val="CommentText"/>
    <w:uiPriority w:val="99"/>
    <w:rsid w:val="00EC37A4"/>
    <w:rPr>
      <w:lang w:val="en-US" w:eastAsia="en-US"/>
    </w:rPr>
  </w:style>
  <w:style w:type="paragraph" w:styleId="CommentSubject">
    <w:name w:val="annotation subject"/>
    <w:basedOn w:val="CommentText"/>
    <w:next w:val="CommentText"/>
    <w:link w:val="CommentSubjectChar"/>
    <w:uiPriority w:val="99"/>
    <w:rsid w:val="00EC37A4"/>
    <w:rPr>
      <w:b/>
      <w:bCs/>
    </w:rPr>
  </w:style>
  <w:style w:type="character" w:customStyle="1" w:styleId="CommentSubjectChar">
    <w:name w:val="Comment Subject Char"/>
    <w:basedOn w:val="CommentTextChar"/>
    <w:link w:val="CommentSubject"/>
    <w:uiPriority w:val="99"/>
    <w:rsid w:val="00EC37A4"/>
    <w:rPr>
      <w:b/>
      <w:bCs/>
      <w:lang w:val="en-US" w:eastAsia="en-US"/>
    </w:rPr>
  </w:style>
  <w:style w:type="character" w:customStyle="1" w:styleId="HeaderChar">
    <w:name w:val="Header Char"/>
    <w:basedOn w:val="DefaultParagraphFont"/>
    <w:link w:val="Header"/>
    <w:uiPriority w:val="99"/>
    <w:rsid w:val="00285602"/>
    <w:rPr>
      <w:sz w:val="28"/>
      <w:szCs w:val="28"/>
      <w:lang w:val="en-US" w:eastAsia="en-US"/>
    </w:rPr>
  </w:style>
  <w:style w:type="numbering" w:customStyle="1" w:styleId="NoList1">
    <w:name w:val="No List1"/>
    <w:next w:val="NoList"/>
    <w:uiPriority w:val="99"/>
    <w:semiHidden/>
    <w:unhideWhenUsed/>
    <w:rsid w:val="008C1F7A"/>
  </w:style>
  <w:style w:type="character" w:customStyle="1" w:styleId="BalloonTextChar">
    <w:name w:val="Balloon Text Char"/>
    <w:basedOn w:val="DefaultParagraphFont"/>
    <w:link w:val="BalloonText"/>
    <w:uiPriority w:val="99"/>
    <w:semiHidden/>
    <w:rsid w:val="008C1F7A"/>
    <w:rPr>
      <w:rFonts w:ascii="Tahoma" w:hAnsi="Tahoma" w:cs="Tahoma"/>
      <w:sz w:val="16"/>
      <w:szCs w:val="16"/>
      <w:lang w:val="es-ES" w:eastAsia="en-US"/>
    </w:rPr>
  </w:style>
  <w:style w:type="paragraph" w:styleId="Revision">
    <w:name w:val="Revision"/>
    <w:hidden/>
    <w:uiPriority w:val="99"/>
    <w:semiHidden/>
    <w:rsid w:val="008C1F7A"/>
    <w:rPr>
      <w:rFonts w:ascii="Arial" w:eastAsia="Calibri" w:hAnsi="Arial"/>
      <w:sz w:val="22"/>
      <w:szCs w:val="22"/>
      <w:lang w:val="en-US" w:eastAsia="en-US"/>
    </w:rPr>
  </w:style>
  <w:style w:type="table" w:customStyle="1" w:styleId="TableGrid1">
    <w:name w:val="Table Grid1"/>
    <w:basedOn w:val="TableNormal"/>
    <w:next w:val="TableGrid"/>
    <w:uiPriority w:val="59"/>
    <w:rsid w:val="008C1F7A"/>
    <w:pPr>
      <w:jc w:val="center"/>
    </w:pPr>
    <w:rPr>
      <w:rFonts w:ascii="Arial" w:eastAsia="Calibri" w:hAnsi="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C1F7A"/>
    <w:rPr>
      <w:rFonts w:ascii="Times New Roman" w:hAnsi="Times New Roman" w:cs="Times New Roman" w:hint="default"/>
      <w:b w:val="0"/>
      <w:bCs w:val="0"/>
      <w:i w:val="0"/>
      <w:iCs w:val="0"/>
      <w:color w:val="000000"/>
      <w:sz w:val="28"/>
      <w:szCs w:val="28"/>
    </w:rPr>
  </w:style>
  <w:style w:type="character" w:customStyle="1" w:styleId="fontstyle21">
    <w:name w:val="fontstyle21"/>
    <w:rsid w:val="008C1F7A"/>
    <w:rPr>
      <w:rFonts w:ascii="Times New Roman" w:hAnsi="Times New Roman" w:cs="Times New Roman" w:hint="default"/>
      <w:b w:val="0"/>
      <w:bCs w:val="0"/>
      <w:i w:val="0"/>
      <w:iCs w:val="0"/>
      <w:color w:val="000000"/>
      <w:sz w:val="28"/>
      <w:szCs w:val="28"/>
    </w:rPr>
  </w:style>
  <w:style w:type="character" w:customStyle="1" w:styleId="FooterChar">
    <w:name w:val="Footer Char"/>
    <w:basedOn w:val="DefaultParagraphFont"/>
    <w:link w:val="Footer"/>
    <w:uiPriority w:val="99"/>
    <w:rsid w:val="008C1F7A"/>
    <w:rPr>
      <w:sz w:val="28"/>
      <w:szCs w:val="28"/>
      <w:lang w:val="es-ES" w:eastAsia="en-US"/>
    </w:rPr>
  </w:style>
  <w:style w:type="numbering" w:customStyle="1" w:styleId="NoList11">
    <w:name w:val="No List11"/>
    <w:next w:val="NoList"/>
    <w:uiPriority w:val="99"/>
    <w:semiHidden/>
    <w:unhideWhenUsed/>
    <w:rsid w:val="008C1F7A"/>
  </w:style>
  <w:style w:type="character" w:styleId="FollowedHyperlink">
    <w:name w:val="FollowedHyperlink"/>
    <w:basedOn w:val="DefaultParagraphFont"/>
    <w:uiPriority w:val="99"/>
    <w:unhideWhenUsed/>
    <w:rsid w:val="008C1F7A"/>
    <w:rPr>
      <w:color w:val="800080"/>
      <w:u w:val="single"/>
    </w:rPr>
  </w:style>
  <w:style w:type="paragraph" w:customStyle="1" w:styleId="font5">
    <w:name w:val="font5"/>
    <w:basedOn w:val="Normal"/>
    <w:rsid w:val="008C1F7A"/>
    <w:pPr>
      <w:spacing w:before="100" w:beforeAutospacing="1" w:after="100" w:afterAutospacing="1" w:line="240" w:lineRule="auto"/>
      <w:ind w:firstLine="0"/>
      <w:jc w:val="left"/>
    </w:pPr>
    <w:rPr>
      <w:color w:val="000000"/>
      <w:sz w:val="24"/>
      <w:szCs w:val="24"/>
      <w:lang w:val="en-US"/>
    </w:rPr>
  </w:style>
  <w:style w:type="paragraph" w:customStyle="1" w:styleId="xl95">
    <w:name w:val="xl95"/>
    <w:basedOn w:val="Normal"/>
    <w:rsid w:val="008C1F7A"/>
    <w:pPr>
      <w:spacing w:before="100" w:beforeAutospacing="1" w:after="100" w:afterAutospacing="1" w:line="240" w:lineRule="auto"/>
      <w:ind w:firstLine="0"/>
      <w:jc w:val="left"/>
    </w:pPr>
    <w:rPr>
      <w:color w:val="000000"/>
      <w:sz w:val="26"/>
      <w:szCs w:val="26"/>
      <w:lang w:val="en-US"/>
    </w:rPr>
  </w:style>
  <w:style w:type="paragraph" w:customStyle="1" w:styleId="xl96">
    <w:name w:val="xl96"/>
    <w:basedOn w:val="Normal"/>
    <w:rsid w:val="008C1F7A"/>
    <w:pPr>
      <w:spacing w:before="100" w:beforeAutospacing="1" w:after="100" w:afterAutospacing="1" w:line="240" w:lineRule="auto"/>
      <w:ind w:firstLine="0"/>
      <w:jc w:val="center"/>
    </w:pPr>
    <w:rPr>
      <w:color w:val="000000"/>
      <w:lang w:val="en-US"/>
    </w:rPr>
  </w:style>
  <w:style w:type="paragraph" w:customStyle="1" w:styleId="xl97">
    <w:name w:val="xl97"/>
    <w:basedOn w:val="Normal"/>
    <w:rsid w:val="008C1F7A"/>
    <w:pPr>
      <w:spacing w:before="100" w:beforeAutospacing="1" w:after="100" w:afterAutospacing="1" w:line="240" w:lineRule="auto"/>
      <w:ind w:firstLine="0"/>
      <w:jc w:val="center"/>
    </w:pPr>
    <w:rPr>
      <w:i/>
      <w:iCs/>
      <w:color w:val="000000"/>
      <w:sz w:val="26"/>
      <w:szCs w:val="26"/>
      <w:lang w:val="en-US"/>
    </w:rPr>
  </w:style>
  <w:style w:type="paragraph" w:customStyle="1" w:styleId="xl98">
    <w:name w:val="xl98"/>
    <w:basedOn w:val="Normal"/>
    <w:rsid w:val="008C1F7A"/>
    <w:pPr>
      <w:spacing w:before="100" w:beforeAutospacing="1" w:after="100" w:afterAutospacing="1" w:line="240" w:lineRule="auto"/>
      <w:ind w:firstLine="0"/>
      <w:jc w:val="left"/>
      <w:textAlignment w:val="center"/>
    </w:pPr>
    <w:rPr>
      <w:b/>
      <w:bCs/>
      <w:lang w:val="en-US"/>
    </w:rPr>
  </w:style>
  <w:style w:type="paragraph" w:customStyle="1" w:styleId="xl99">
    <w:name w:val="xl99"/>
    <w:basedOn w:val="Normal"/>
    <w:rsid w:val="008C1F7A"/>
    <w:pPr>
      <w:spacing w:before="100" w:beforeAutospacing="1" w:after="100" w:afterAutospacing="1" w:line="240" w:lineRule="auto"/>
      <w:ind w:firstLine="0"/>
      <w:jc w:val="left"/>
    </w:pPr>
    <w:rPr>
      <w:color w:val="000000"/>
      <w:lang w:val="en-US"/>
    </w:rPr>
  </w:style>
  <w:style w:type="paragraph" w:customStyle="1" w:styleId="xl100">
    <w:name w:val="xl100"/>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lang w:val="en-US"/>
    </w:rPr>
  </w:style>
  <w:style w:type="paragraph" w:customStyle="1" w:styleId="xl101">
    <w:name w:val="xl101"/>
    <w:basedOn w:val="Normal"/>
    <w:rsid w:val="008C1F7A"/>
    <w:pPr>
      <w:spacing w:before="100" w:beforeAutospacing="1" w:after="100" w:afterAutospacing="1" w:line="240" w:lineRule="auto"/>
      <w:ind w:firstLine="0"/>
      <w:jc w:val="left"/>
    </w:pPr>
    <w:rPr>
      <w:color w:val="000000"/>
      <w:lang w:val="en-US"/>
    </w:rPr>
  </w:style>
  <w:style w:type="paragraph" w:customStyle="1" w:styleId="xl102">
    <w:name w:val="xl102"/>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lang w:val="en-US"/>
    </w:rPr>
  </w:style>
  <w:style w:type="paragraph" w:customStyle="1" w:styleId="xl103">
    <w:name w:val="xl103"/>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lang w:val="en-US"/>
    </w:rPr>
  </w:style>
  <w:style w:type="paragraph" w:customStyle="1" w:styleId="xl104">
    <w:name w:val="xl104"/>
    <w:basedOn w:val="Normal"/>
    <w:rsid w:val="008C1F7A"/>
    <w:pPr>
      <w:spacing w:before="100" w:beforeAutospacing="1" w:after="100" w:afterAutospacing="1" w:line="240" w:lineRule="auto"/>
      <w:ind w:firstLine="0"/>
      <w:jc w:val="left"/>
      <w:textAlignment w:val="center"/>
    </w:pPr>
    <w:rPr>
      <w:b/>
      <w:bCs/>
      <w:lang w:val="en-US"/>
    </w:rPr>
  </w:style>
  <w:style w:type="paragraph" w:customStyle="1" w:styleId="xl105">
    <w:name w:val="xl105"/>
    <w:basedOn w:val="Normal"/>
    <w:rsid w:val="008C1F7A"/>
    <w:pPr>
      <w:spacing w:before="100" w:beforeAutospacing="1" w:after="100" w:afterAutospacing="1" w:line="240" w:lineRule="auto"/>
      <w:ind w:firstLine="0"/>
      <w:jc w:val="left"/>
      <w:textAlignment w:val="center"/>
    </w:pPr>
    <w:rPr>
      <w:b/>
      <w:bCs/>
      <w:color w:val="000000"/>
      <w:sz w:val="26"/>
      <w:szCs w:val="26"/>
      <w:lang w:val="en-US"/>
    </w:rPr>
  </w:style>
  <w:style w:type="paragraph" w:customStyle="1" w:styleId="xl106">
    <w:name w:val="xl106"/>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26"/>
      <w:szCs w:val="26"/>
      <w:lang w:val="en-US"/>
    </w:rPr>
  </w:style>
  <w:style w:type="paragraph" w:customStyle="1" w:styleId="xl107">
    <w:name w:val="xl107"/>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26"/>
      <w:szCs w:val="26"/>
      <w:lang w:val="en-US"/>
    </w:rPr>
  </w:style>
  <w:style w:type="paragraph" w:customStyle="1" w:styleId="xl108">
    <w:name w:val="xl108"/>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09">
    <w:name w:val="xl109"/>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10">
    <w:name w:val="xl110"/>
    <w:basedOn w:val="Normal"/>
    <w:rsid w:val="008C1F7A"/>
    <w:pPr>
      <w:spacing w:before="100" w:beforeAutospacing="1" w:after="100" w:afterAutospacing="1" w:line="240" w:lineRule="auto"/>
      <w:ind w:firstLine="0"/>
      <w:jc w:val="left"/>
      <w:textAlignment w:val="center"/>
    </w:pPr>
    <w:rPr>
      <w:lang w:val="en-US"/>
    </w:rPr>
  </w:style>
  <w:style w:type="paragraph" w:customStyle="1" w:styleId="xl111">
    <w:name w:val="xl111"/>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12">
    <w:name w:val="xl112"/>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13">
    <w:name w:val="xl113"/>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14">
    <w:name w:val="xl114"/>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4"/>
      <w:szCs w:val="24"/>
      <w:lang w:val="en-US"/>
    </w:rPr>
  </w:style>
  <w:style w:type="paragraph" w:customStyle="1" w:styleId="xl115">
    <w:name w:val="xl115"/>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16">
    <w:name w:val="xl116"/>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4"/>
      <w:szCs w:val="24"/>
      <w:lang w:val="en-US"/>
    </w:rPr>
  </w:style>
  <w:style w:type="paragraph" w:customStyle="1" w:styleId="xl117">
    <w:name w:val="xl117"/>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lang w:val="en-US"/>
    </w:rPr>
  </w:style>
  <w:style w:type="paragraph" w:customStyle="1" w:styleId="xl118">
    <w:name w:val="xl118"/>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lang w:val="en-US"/>
    </w:rPr>
  </w:style>
  <w:style w:type="paragraph" w:customStyle="1" w:styleId="xl119">
    <w:name w:val="xl119"/>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20">
    <w:name w:val="xl120"/>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lang w:val="en-US"/>
    </w:rPr>
  </w:style>
  <w:style w:type="paragraph" w:customStyle="1" w:styleId="xl121">
    <w:name w:val="xl121"/>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lang w:val="en-US"/>
    </w:rPr>
  </w:style>
  <w:style w:type="paragraph" w:customStyle="1" w:styleId="xl122">
    <w:name w:val="xl122"/>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lang w:val="en-US"/>
    </w:rPr>
  </w:style>
  <w:style w:type="paragraph" w:customStyle="1" w:styleId="xl123">
    <w:name w:val="xl123"/>
    <w:basedOn w:val="Normal"/>
    <w:rsid w:val="008C1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color w:val="000000"/>
      <w:sz w:val="24"/>
      <w:szCs w:val="24"/>
      <w:lang w:val="en-US"/>
    </w:rPr>
  </w:style>
  <w:style w:type="paragraph" w:customStyle="1" w:styleId="xl124">
    <w:name w:val="xl124"/>
    <w:basedOn w:val="Normal"/>
    <w:rsid w:val="008C1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lang w:val="en-US"/>
    </w:rPr>
  </w:style>
  <w:style w:type="paragraph" w:customStyle="1" w:styleId="xl125">
    <w:name w:val="xl125"/>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lang w:val="en-US"/>
    </w:rPr>
  </w:style>
  <w:style w:type="paragraph" w:customStyle="1" w:styleId="xl126">
    <w:name w:val="xl126"/>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lang w:val="en-US"/>
    </w:rPr>
  </w:style>
  <w:style w:type="paragraph" w:customStyle="1" w:styleId="xl127">
    <w:name w:val="xl127"/>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28">
    <w:name w:val="xl128"/>
    <w:basedOn w:val="Normal"/>
    <w:rsid w:val="008C1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24"/>
      <w:szCs w:val="24"/>
      <w:lang w:val="en-US"/>
    </w:rPr>
  </w:style>
  <w:style w:type="paragraph" w:customStyle="1" w:styleId="xl129">
    <w:name w:val="xl129"/>
    <w:basedOn w:val="Normal"/>
    <w:rsid w:val="008C1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lang w:val="en-US"/>
    </w:rPr>
  </w:style>
  <w:style w:type="paragraph" w:customStyle="1" w:styleId="xl130">
    <w:name w:val="xl130"/>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4"/>
      <w:szCs w:val="24"/>
      <w:lang w:val="en-US"/>
    </w:rPr>
  </w:style>
  <w:style w:type="paragraph" w:customStyle="1" w:styleId="xl131">
    <w:name w:val="xl131"/>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4"/>
      <w:szCs w:val="24"/>
      <w:lang w:val="en-US"/>
    </w:rPr>
  </w:style>
  <w:style w:type="paragraph" w:customStyle="1" w:styleId="xl132">
    <w:name w:val="xl132"/>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lang w:val="en-US"/>
    </w:rPr>
  </w:style>
  <w:style w:type="paragraph" w:customStyle="1" w:styleId="xl133">
    <w:name w:val="xl133"/>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4"/>
      <w:szCs w:val="24"/>
      <w:lang w:val="en-US"/>
    </w:rPr>
  </w:style>
  <w:style w:type="paragraph" w:customStyle="1" w:styleId="xl134">
    <w:name w:val="xl134"/>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35">
    <w:name w:val="xl135"/>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4"/>
      <w:szCs w:val="24"/>
      <w:lang w:val="en-US"/>
    </w:rPr>
  </w:style>
  <w:style w:type="paragraph" w:customStyle="1" w:styleId="xl136">
    <w:name w:val="xl136"/>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color w:val="000000"/>
      <w:sz w:val="24"/>
      <w:szCs w:val="24"/>
      <w:lang w:val="en-US"/>
    </w:rPr>
  </w:style>
  <w:style w:type="paragraph" w:customStyle="1" w:styleId="xl137">
    <w:name w:val="xl137"/>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lang w:val="en-US"/>
    </w:rPr>
  </w:style>
  <w:style w:type="paragraph" w:customStyle="1" w:styleId="xl138">
    <w:name w:val="xl138"/>
    <w:basedOn w:val="Normal"/>
    <w:rsid w:val="008C1F7A"/>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lang w:val="en-US"/>
    </w:rPr>
  </w:style>
  <w:style w:type="paragraph" w:customStyle="1" w:styleId="xl139">
    <w:name w:val="xl139"/>
    <w:basedOn w:val="Normal"/>
    <w:rsid w:val="008C1F7A"/>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4"/>
      <w:szCs w:val="24"/>
      <w:lang w:val="en-US"/>
    </w:rPr>
  </w:style>
  <w:style w:type="paragraph" w:customStyle="1" w:styleId="xl140">
    <w:name w:val="xl140"/>
    <w:basedOn w:val="Normal"/>
    <w:rsid w:val="008C1F7A"/>
    <w:pPr>
      <w:spacing w:before="100" w:beforeAutospacing="1" w:after="100" w:afterAutospacing="1" w:line="240" w:lineRule="auto"/>
      <w:ind w:firstLine="0"/>
      <w:jc w:val="center"/>
    </w:pPr>
    <w:rPr>
      <w:b/>
      <w:bCs/>
      <w:color w:val="000000"/>
      <w:sz w:val="26"/>
      <w:szCs w:val="26"/>
      <w:lang w:val="en-US"/>
    </w:rPr>
  </w:style>
  <w:style w:type="paragraph" w:customStyle="1" w:styleId="xl141">
    <w:name w:val="xl141"/>
    <w:basedOn w:val="Normal"/>
    <w:rsid w:val="008C1F7A"/>
    <w:pPr>
      <w:spacing w:before="100" w:beforeAutospacing="1" w:after="100" w:afterAutospacing="1" w:line="240" w:lineRule="auto"/>
      <w:ind w:firstLine="0"/>
      <w:jc w:val="left"/>
    </w:pPr>
    <w:rPr>
      <w:color w:val="000000"/>
      <w:sz w:val="26"/>
      <w:szCs w:val="26"/>
      <w:lang w:val="en-US"/>
    </w:rPr>
  </w:style>
  <w:style w:type="paragraph" w:customStyle="1" w:styleId="xl142">
    <w:name w:val="xl142"/>
    <w:basedOn w:val="Normal"/>
    <w:rsid w:val="008C1F7A"/>
    <w:pPr>
      <w:spacing w:before="100" w:beforeAutospacing="1" w:after="100" w:afterAutospacing="1" w:line="240" w:lineRule="auto"/>
      <w:ind w:firstLine="0"/>
      <w:jc w:val="center"/>
    </w:pPr>
    <w:rPr>
      <w:i/>
      <w:iCs/>
      <w:sz w:val="26"/>
      <w:szCs w:val="26"/>
      <w:lang w:val="en-US"/>
    </w:rPr>
  </w:style>
  <w:style w:type="paragraph" w:customStyle="1" w:styleId="xl143">
    <w:name w:val="xl143"/>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lang w:val="en-US"/>
    </w:rPr>
  </w:style>
  <w:style w:type="paragraph" w:customStyle="1" w:styleId="3">
    <w:name w:val="3"/>
    <w:basedOn w:val="Normal"/>
    <w:qFormat/>
    <w:rsid w:val="008C1F7A"/>
    <w:pPr>
      <w:spacing w:after="0" w:line="360" w:lineRule="auto"/>
      <w:ind w:right="-1" w:firstLine="0"/>
      <w:outlineLvl w:val="1"/>
    </w:pPr>
    <w:rPr>
      <w:i/>
      <w:sz w:val="26"/>
      <w:szCs w:val="26"/>
      <w:lang w:val="nl-NL"/>
    </w:rPr>
  </w:style>
  <w:style w:type="paragraph" w:styleId="TOCHeading">
    <w:name w:val="TOC Heading"/>
    <w:basedOn w:val="Heading1"/>
    <w:next w:val="Normal"/>
    <w:uiPriority w:val="39"/>
    <w:unhideWhenUsed/>
    <w:qFormat/>
    <w:rsid w:val="000B46BE"/>
    <w:pPr>
      <w:spacing w:before="240" w:after="0" w:line="259" w:lineRule="auto"/>
      <w:jc w:val="left"/>
      <w:outlineLvl w:val="9"/>
    </w:pPr>
    <w:rPr>
      <w:b w:val="0"/>
      <w:color w:val="2E74B5" w:themeColor="accent1" w:themeShade="BF"/>
      <w:sz w:val="32"/>
      <w:lang w:val="en-US"/>
    </w:rPr>
  </w:style>
  <w:style w:type="paragraph" w:styleId="TOC1">
    <w:name w:val="toc 1"/>
    <w:basedOn w:val="Normal"/>
    <w:next w:val="Normal"/>
    <w:autoRedefine/>
    <w:uiPriority w:val="39"/>
    <w:rsid w:val="000B46BE"/>
    <w:pPr>
      <w:spacing w:after="100"/>
    </w:pPr>
  </w:style>
  <w:style w:type="paragraph" w:styleId="TOC2">
    <w:name w:val="toc 2"/>
    <w:basedOn w:val="Normal"/>
    <w:next w:val="Normal"/>
    <w:autoRedefine/>
    <w:uiPriority w:val="39"/>
    <w:rsid w:val="000B46BE"/>
    <w:pPr>
      <w:spacing w:after="100"/>
      <w:ind w:left="280"/>
    </w:pPr>
  </w:style>
  <w:style w:type="paragraph" w:styleId="TOC3">
    <w:name w:val="toc 3"/>
    <w:basedOn w:val="Normal"/>
    <w:next w:val="Normal"/>
    <w:autoRedefine/>
    <w:uiPriority w:val="39"/>
    <w:rsid w:val="000B46BE"/>
    <w:pPr>
      <w:tabs>
        <w:tab w:val="right" w:leader="dot" w:pos="9062"/>
      </w:tabs>
      <w:spacing w:after="100" w:line="240" w:lineRule="auto"/>
      <w:ind w:left="5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8D4"/>
    <w:pPr>
      <w:spacing w:after="120" w:line="264" w:lineRule="auto"/>
      <w:ind w:firstLine="720"/>
      <w:jc w:val="both"/>
    </w:pPr>
    <w:rPr>
      <w:sz w:val="28"/>
      <w:szCs w:val="28"/>
      <w:lang w:val="es-ES" w:eastAsia="en-US"/>
    </w:rPr>
  </w:style>
  <w:style w:type="paragraph" w:styleId="Heading1">
    <w:name w:val="heading 1"/>
    <w:basedOn w:val="Normal"/>
    <w:next w:val="Normal"/>
    <w:link w:val="Heading1Char"/>
    <w:qFormat/>
    <w:rsid w:val="00CB18DF"/>
    <w:pPr>
      <w:keepNext/>
      <w:keepLines/>
      <w:ind w:firstLine="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nhideWhenUsed/>
    <w:qFormat/>
    <w:rsid w:val="00CB18DF"/>
    <w:pPr>
      <w:keepNext/>
      <w:keepLines/>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CB18DF"/>
    <w:pPr>
      <w:keepNext/>
      <w:keepLines/>
      <w:outlineLvl w:val="2"/>
    </w:pPr>
    <w:rPr>
      <w:rFonts w:asciiTheme="majorHAnsi" w:eastAsiaTheme="majorEastAsia" w:hAnsiTheme="majorHAnsi" w:cstheme="majorBidi"/>
      <w:b/>
      <w:szCs w:val="24"/>
    </w:rPr>
  </w:style>
  <w:style w:type="paragraph" w:styleId="Heading4">
    <w:name w:val="heading 4"/>
    <w:basedOn w:val="Normal"/>
    <w:next w:val="Normal"/>
    <w:qFormat/>
    <w:rsid w:val="001875BF"/>
    <w:pPr>
      <w:keepNext/>
      <w:outlineLvl w:val="3"/>
    </w:pPr>
    <w:rPr>
      <w:rFonts w:asciiTheme="majorHAnsi" w:hAnsiTheme="majorHAnsi"/>
      <w:b/>
      <w:i/>
      <w:szCs w:val="20"/>
    </w:rPr>
  </w:style>
  <w:style w:type="paragraph" w:styleId="Heading5">
    <w:name w:val="heading 5"/>
    <w:basedOn w:val="Normal"/>
    <w:next w:val="Normal"/>
    <w:qFormat/>
    <w:rsid w:val="007C74E6"/>
    <w:pPr>
      <w:keepNext/>
      <w:spacing w:before="120" w:line="360" w:lineRule="exact"/>
      <w:jc w:val="center"/>
      <w:outlineLvl w:val="4"/>
    </w:pPr>
    <w:rPr>
      <w:rFonts w:ascii=".VnArialH" w:hAnsi=".VnArialH"/>
      <w:b/>
      <w:sz w:val="24"/>
      <w:szCs w:val="20"/>
    </w:rPr>
  </w:style>
  <w:style w:type="paragraph" w:styleId="Heading8">
    <w:name w:val="heading 8"/>
    <w:basedOn w:val="Normal"/>
    <w:next w:val="Normal"/>
    <w:qFormat/>
    <w:rsid w:val="007C74E6"/>
    <w:pPr>
      <w:keepNext/>
      <w:jc w:val="center"/>
      <w:outlineLvl w:val="7"/>
    </w:pPr>
    <w:rPr>
      <w:rFonts w:ascii=".VnTimeH" w:hAnsi=".VnTimeH"/>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3D27"/>
    <w:pPr>
      <w:tabs>
        <w:tab w:val="center" w:pos="4320"/>
        <w:tab w:val="right" w:pos="8640"/>
      </w:tabs>
    </w:pPr>
  </w:style>
  <w:style w:type="character" w:styleId="PageNumber">
    <w:name w:val="page number"/>
    <w:basedOn w:val="DefaultParagraphFont"/>
    <w:rsid w:val="00423D27"/>
  </w:style>
  <w:style w:type="paragraph" w:styleId="BodyText">
    <w:name w:val="Body Text"/>
    <w:basedOn w:val="Normal"/>
    <w:link w:val="BodyTextChar"/>
    <w:rsid w:val="00443052"/>
    <w:rPr>
      <w:rFonts w:ascii=".VnTime" w:hAnsi=".VnTime"/>
      <w:szCs w:val="20"/>
      <w:lang w:eastAsia="en-AU"/>
    </w:rPr>
  </w:style>
  <w:style w:type="character" w:customStyle="1" w:styleId="BodyTextChar">
    <w:name w:val="Body Text Char"/>
    <w:basedOn w:val="DefaultParagraphFont"/>
    <w:link w:val="BodyText"/>
    <w:rsid w:val="0049306E"/>
    <w:rPr>
      <w:rFonts w:ascii=".VnTime" w:hAnsi=".VnTime"/>
      <w:sz w:val="28"/>
      <w:lang w:val="en-US" w:eastAsia="en-AU" w:bidi="ar-SA"/>
    </w:rPr>
  </w:style>
  <w:style w:type="table" w:styleId="TableGrid">
    <w:name w:val="Table Grid"/>
    <w:basedOn w:val="TableNormal"/>
    <w:rsid w:val="00686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C777D"/>
    <w:rPr>
      <w:rFonts w:ascii="Tahoma" w:hAnsi="Tahoma" w:cs="Tahoma"/>
      <w:sz w:val="16"/>
      <w:szCs w:val="16"/>
    </w:rPr>
  </w:style>
  <w:style w:type="paragraph" w:styleId="BodyTextIndent2">
    <w:name w:val="Body Text Indent 2"/>
    <w:basedOn w:val="Normal"/>
    <w:link w:val="BodyTextIndent2Char"/>
    <w:rsid w:val="00B94A11"/>
    <w:pPr>
      <w:spacing w:before="120"/>
    </w:pPr>
    <w:rPr>
      <w:rFonts w:ascii=".VnTime" w:hAnsi=".VnTime"/>
      <w:szCs w:val="20"/>
    </w:rPr>
  </w:style>
  <w:style w:type="paragraph" w:styleId="BodyText2">
    <w:name w:val="Body Text 2"/>
    <w:basedOn w:val="Normal"/>
    <w:rsid w:val="00B94A11"/>
    <w:pPr>
      <w:spacing w:before="120" w:line="288" w:lineRule="auto"/>
    </w:pPr>
    <w:rPr>
      <w:rFonts w:ascii=".VnTime" w:hAnsi=".VnTime"/>
      <w:szCs w:val="20"/>
    </w:rPr>
  </w:style>
  <w:style w:type="paragraph" w:styleId="BodyTextIndent">
    <w:name w:val="Body Text Indent"/>
    <w:basedOn w:val="Normal"/>
    <w:link w:val="BodyTextIndentChar"/>
    <w:rsid w:val="00825406"/>
    <w:rPr>
      <w:rFonts w:ascii=".VnTimeH" w:hAnsi=".VnTimeH"/>
      <w:sz w:val="26"/>
      <w:szCs w:val="20"/>
      <w:lang w:val="x-none" w:eastAsia="x-none"/>
    </w:rPr>
  </w:style>
  <w:style w:type="paragraph" w:customStyle="1" w:styleId="n-dieund">
    <w:name w:val="n-dieund"/>
    <w:basedOn w:val="Normal"/>
    <w:rsid w:val="00825406"/>
    <w:pPr>
      <w:ind w:firstLine="709"/>
    </w:pPr>
    <w:rPr>
      <w:rFonts w:ascii=".VnTime" w:eastAsia="MS Mincho" w:hAnsi=".VnTime"/>
      <w:szCs w:val="20"/>
      <w:lang w:eastAsia="ja-JP"/>
    </w:rPr>
  </w:style>
  <w:style w:type="character" w:styleId="Hyperlink">
    <w:name w:val="Hyperlink"/>
    <w:basedOn w:val="DefaultParagraphFont"/>
    <w:uiPriority w:val="99"/>
    <w:rsid w:val="00A874E3"/>
    <w:rPr>
      <w:color w:val="0000FF"/>
      <w:u w:val="single"/>
    </w:rPr>
  </w:style>
  <w:style w:type="character" w:customStyle="1" w:styleId="hl">
    <w:name w:val="hl"/>
    <w:basedOn w:val="DefaultParagraphFont"/>
    <w:rsid w:val="00A874E3"/>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9941FF"/>
    <w:rPr>
      <w:sz w:val="20"/>
      <w:szCs w:val="20"/>
    </w:rPr>
  </w:style>
  <w:style w:type="character" w:styleId="FootnoteReference">
    <w:name w:val="footnote reference"/>
    <w:aliases w:val="Footnote,Footnote text,ftref,16 Point,Superscript 6 Point,Ref,de nota al pie,Footnote text + 13 pt,BearingPoint,fr,Footnote Text1,(NECG) Footnote Reference,BVI fnr,footnote ref,10 p,Footnote + Arial,10 pt,4_,E FNZ,4_G,Footnote di"/>
    <w:basedOn w:val="DefaultParagraphFont"/>
    <w:rsid w:val="009941FF"/>
    <w:rPr>
      <w:vertAlign w:val="superscript"/>
    </w:rPr>
  </w:style>
  <w:style w:type="paragraph" w:customStyle="1" w:styleId="n-dieu">
    <w:name w:val="n-dieu"/>
    <w:basedOn w:val="Normal"/>
    <w:rsid w:val="009941FF"/>
    <w:pPr>
      <w:spacing w:before="180"/>
      <w:ind w:firstLine="709"/>
    </w:pPr>
    <w:rPr>
      <w:rFonts w:ascii=".VnTime" w:eastAsia="MS Mincho" w:hAnsi=".VnTime"/>
      <w:b/>
      <w:i/>
      <w:szCs w:val="20"/>
      <w:lang w:val="it-IT" w:eastAsia="ja-JP"/>
    </w:rPr>
  </w:style>
  <w:style w:type="paragraph" w:styleId="Header">
    <w:name w:val="header"/>
    <w:basedOn w:val="Normal"/>
    <w:link w:val="HeaderChar"/>
    <w:uiPriority w:val="99"/>
    <w:rsid w:val="00A94633"/>
    <w:pPr>
      <w:tabs>
        <w:tab w:val="center" w:pos="4320"/>
        <w:tab w:val="right" w:pos="8640"/>
      </w:tabs>
    </w:p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E7344"/>
  </w:style>
  <w:style w:type="paragraph" w:customStyle="1" w:styleId="CharCharChar">
    <w:name w:val="Char Char Char"/>
    <w:basedOn w:val="Normal"/>
    <w:semiHidden/>
    <w:rsid w:val="00673C6A"/>
    <w:pPr>
      <w:pageBreakBefore/>
      <w:spacing w:before="100" w:beforeAutospacing="1" w:after="100" w:afterAutospacing="1"/>
    </w:pPr>
    <w:rPr>
      <w:rFonts w:ascii="Tahoma" w:hAnsi="Tahoma"/>
      <w:sz w:val="20"/>
      <w:szCs w:val="20"/>
    </w:rPr>
  </w:style>
  <w:style w:type="paragraph" w:styleId="NormalWeb">
    <w:name w:val="Normal (Web)"/>
    <w:basedOn w:val="Normal"/>
    <w:uiPriority w:val="99"/>
    <w:rsid w:val="005B263D"/>
    <w:pPr>
      <w:spacing w:before="100" w:beforeAutospacing="1" w:after="100" w:afterAutospacing="1"/>
    </w:pPr>
    <w:rPr>
      <w:sz w:val="24"/>
      <w:szCs w:val="24"/>
    </w:rPr>
  </w:style>
  <w:style w:type="paragraph" w:customStyle="1" w:styleId="Char">
    <w:name w:val="Char"/>
    <w:basedOn w:val="Normal"/>
    <w:semiHidden/>
    <w:rsid w:val="00EB6283"/>
    <w:pPr>
      <w:pageBreakBefore/>
      <w:spacing w:before="100" w:beforeAutospacing="1" w:after="100" w:afterAutospacing="1"/>
    </w:pPr>
    <w:rPr>
      <w:rFonts w:ascii="Tahoma" w:hAnsi="Tahoma"/>
      <w:sz w:val="20"/>
      <w:szCs w:val="20"/>
    </w:rPr>
  </w:style>
  <w:style w:type="paragraph" w:customStyle="1" w:styleId="Bngbiu">
    <w:name w:val="Bảng biểu"/>
    <w:basedOn w:val="Normal"/>
    <w:autoRedefine/>
    <w:rsid w:val="00BD3B68"/>
    <w:pPr>
      <w:spacing w:before="120" w:line="288" w:lineRule="auto"/>
      <w:jc w:val="right"/>
    </w:pPr>
    <w:rPr>
      <w:bCs/>
      <w:i/>
      <w:szCs w:val="20"/>
      <w:lang w:val="nl-NL" w:eastAsia="zh-CN"/>
    </w:rPr>
  </w:style>
  <w:style w:type="character" w:customStyle="1" w:styleId="normal-h">
    <w:name w:val="normal-h"/>
    <w:basedOn w:val="DefaultParagraphFont"/>
    <w:rsid w:val="00065FE8"/>
  </w:style>
  <w:style w:type="paragraph" w:customStyle="1" w:styleId="Giua">
    <w:name w:val="Giua"/>
    <w:basedOn w:val="Normal"/>
    <w:autoRedefine/>
    <w:rsid w:val="002C2588"/>
    <w:pPr>
      <w:numPr>
        <w:numId w:val="9"/>
      </w:numPr>
      <w:tabs>
        <w:tab w:val="left" w:pos="900"/>
      </w:tabs>
      <w:spacing w:before="120" w:line="288" w:lineRule="auto"/>
    </w:pPr>
    <w:rPr>
      <w:b/>
      <w:spacing w:val="24"/>
      <w:szCs w:val="24"/>
      <w:lang w:val="nl-NL"/>
    </w:rPr>
  </w:style>
  <w:style w:type="paragraph" w:customStyle="1" w:styleId="dieu">
    <w:name w:val="dieu"/>
    <w:basedOn w:val="Giua"/>
    <w:link w:val="dieuChar"/>
    <w:autoRedefine/>
    <w:rsid w:val="002C2588"/>
    <w:pPr>
      <w:ind w:firstLine="720"/>
    </w:pPr>
    <w:rPr>
      <w:sz w:val="26"/>
      <w:szCs w:val="26"/>
    </w:rPr>
  </w:style>
  <w:style w:type="character" w:customStyle="1" w:styleId="dieuChar">
    <w:name w:val="dieu Char"/>
    <w:basedOn w:val="DefaultParagraphFont"/>
    <w:link w:val="dieu"/>
    <w:rsid w:val="002C2588"/>
    <w:rPr>
      <w:b/>
      <w:spacing w:val="24"/>
      <w:sz w:val="26"/>
      <w:szCs w:val="26"/>
      <w:lang w:val="nl-NL"/>
    </w:rPr>
  </w:style>
  <w:style w:type="character" w:customStyle="1" w:styleId="BodyTextIndent2Char">
    <w:name w:val="Body Text Indent 2 Char"/>
    <w:basedOn w:val="DefaultParagraphFont"/>
    <w:link w:val="BodyTextIndent2"/>
    <w:rsid w:val="00CF1668"/>
    <w:rPr>
      <w:rFonts w:ascii=".VnTime" w:hAnsi=".VnTime"/>
      <w:sz w:val="28"/>
    </w:rPr>
  </w:style>
  <w:style w:type="character" w:customStyle="1" w:styleId="BodyTextIndentChar">
    <w:name w:val="Body Text Indent Char"/>
    <w:link w:val="BodyTextIndent"/>
    <w:rsid w:val="00F7761F"/>
    <w:rPr>
      <w:rFonts w:ascii=".VnTimeH" w:hAnsi=".VnTimeH"/>
      <w:sz w:val="26"/>
    </w:rPr>
  </w:style>
  <w:style w:type="paragraph" w:styleId="ListParagraph">
    <w:name w:val="List Paragraph"/>
    <w:basedOn w:val="Normal"/>
    <w:uiPriority w:val="34"/>
    <w:qFormat/>
    <w:rsid w:val="00ED74AF"/>
    <w:pPr>
      <w:spacing w:after="200" w:line="276" w:lineRule="auto"/>
      <w:ind w:left="720"/>
      <w:contextualSpacing/>
    </w:pPr>
    <w:rPr>
      <w:rFonts w:eastAsia="Calibri"/>
    </w:rPr>
  </w:style>
  <w:style w:type="character" w:customStyle="1" w:styleId="st">
    <w:name w:val="st"/>
    <w:basedOn w:val="DefaultParagraphFont"/>
    <w:rsid w:val="00DC3365"/>
  </w:style>
  <w:style w:type="character" w:styleId="Emphasis">
    <w:name w:val="Emphasis"/>
    <w:basedOn w:val="DefaultParagraphFont"/>
    <w:rsid w:val="00DC3365"/>
    <w:rPr>
      <w:i/>
      <w:iCs/>
    </w:rPr>
  </w:style>
  <w:style w:type="character" w:customStyle="1" w:styleId="docsearchtitle">
    <w:name w:val="docsearchtitle"/>
    <w:basedOn w:val="DefaultParagraphFont"/>
    <w:rsid w:val="00A2021E"/>
  </w:style>
  <w:style w:type="character" w:customStyle="1" w:styleId="Heading1Char">
    <w:name w:val="Heading 1 Char"/>
    <w:basedOn w:val="DefaultParagraphFont"/>
    <w:link w:val="Heading1"/>
    <w:rsid w:val="00CB18DF"/>
    <w:rPr>
      <w:rFonts w:asciiTheme="majorHAnsi" w:eastAsiaTheme="majorEastAsia" w:hAnsiTheme="majorHAnsi" w:cstheme="majorBidi"/>
      <w:b/>
      <w:sz w:val="28"/>
      <w:szCs w:val="32"/>
      <w:lang w:val="es-ES" w:eastAsia="en-US"/>
    </w:rPr>
  </w:style>
  <w:style w:type="character" w:customStyle="1" w:styleId="Heading2Char">
    <w:name w:val="Heading 2 Char"/>
    <w:basedOn w:val="DefaultParagraphFont"/>
    <w:link w:val="Heading2"/>
    <w:rsid w:val="00CB18DF"/>
    <w:rPr>
      <w:rFonts w:asciiTheme="majorHAnsi" w:eastAsiaTheme="majorEastAsia" w:hAnsiTheme="majorHAnsi" w:cstheme="majorBidi"/>
      <w:b/>
      <w:sz w:val="24"/>
      <w:szCs w:val="26"/>
      <w:lang w:val="es-ES" w:eastAsia="en-US"/>
    </w:rPr>
  </w:style>
  <w:style w:type="character" w:customStyle="1" w:styleId="Heading3Char">
    <w:name w:val="Heading 3 Char"/>
    <w:basedOn w:val="DefaultParagraphFont"/>
    <w:link w:val="Heading3"/>
    <w:rsid w:val="00CB18DF"/>
    <w:rPr>
      <w:rFonts w:asciiTheme="majorHAnsi" w:eastAsiaTheme="majorEastAsia" w:hAnsiTheme="majorHAnsi" w:cstheme="majorBidi"/>
      <w:b/>
      <w:sz w:val="28"/>
      <w:szCs w:val="24"/>
      <w:lang w:val="es-ES" w:eastAsia="en-US"/>
    </w:rPr>
  </w:style>
  <w:style w:type="character" w:styleId="CommentReference">
    <w:name w:val="annotation reference"/>
    <w:basedOn w:val="DefaultParagraphFont"/>
    <w:uiPriority w:val="99"/>
    <w:rsid w:val="00EC37A4"/>
    <w:rPr>
      <w:sz w:val="16"/>
      <w:szCs w:val="16"/>
    </w:rPr>
  </w:style>
  <w:style w:type="paragraph" w:styleId="CommentText">
    <w:name w:val="annotation text"/>
    <w:basedOn w:val="Normal"/>
    <w:link w:val="CommentTextChar"/>
    <w:uiPriority w:val="99"/>
    <w:rsid w:val="00EC37A4"/>
    <w:pPr>
      <w:spacing w:line="240" w:lineRule="auto"/>
    </w:pPr>
    <w:rPr>
      <w:sz w:val="20"/>
      <w:szCs w:val="20"/>
    </w:rPr>
  </w:style>
  <w:style w:type="character" w:customStyle="1" w:styleId="CommentTextChar">
    <w:name w:val="Comment Text Char"/>
    <w:basedOn w:val="DefaultParagraphFont"/>
    <w:link w:val="CommentText"/>
    <w:uiPriority w:val="99"/>
    <w:rsid w:val="00EC37A4"/>
    <w:rPr>
      <w:lang w:val="en-US" w:eastAsia="en-US"/>
    </w:rPr>
  </w:style>
  <w:style w:type="paragraph" w:styleId="CommentSubject">
    <w:name w:val="annotation subject"/>
    <w:basedOn w:val="CommentText"/>
    <w:next w:val="CommentText"/>
    <w:link w:val="CommentSubjectChar"/>
    <w:uiPriority w:val="99"/>
    <w:rsid w:val="00EC37A4"/>
    <w:rPr>
      <w:b/>
      <w:bCs/>
    </w:rPr>
  </w:style>
  <w:style w:type="character" w:customStyle="1" w:styleId="CommentSubjectChar">
    <w:name w:val="Comment Subject Char"/>
    <w:basedOn w:val="CommentTextChar"/>
    <w:link w:val="CommentSubject"/>
    <w:uiPriority w:val="99"/>
    <w:rsid w:val="00EC37A4"/>
    <w:rPr>
      <w:b/>
      <w:bCs/>
      <w:lang w:val="en-US" w:eastAsia="en-US"/>
    </w:rPr>
  </w:style>
  <w:style w:type="character" w:customStyle="1" w:styleId="HeaderChar">
    <w:name w:val="Header Char"/>
    <w:basedOn w:val="DefaultParagraphFont"/>
    <w:link w:val="Header"/>
    <w:uiPriority w:val="99"/>
    <w:rsid w:val="00285602"/>
    <w:rPr>
      <w:sz w:val="28"/>
      <w:szCs w:val="28"/>
      <w:lang w:val="en-US" w:eastAsia="en-US"/>
    </w:rPr>
  </w:style>
  <w:style w:type="numbering" w:customStyle="1" w:styleId="NoList1">
    <w:name w:val="No List1"/>
    <w:next w:val="NoList"/>
    <w:uiPriority w:val="99"/>
    <w:semiHidden/>
    <w:unhideWhenUsed/>
    <w:rsid w:val="008C1F7A"/>
  </w:style>
  <w:style w:type="character" w:customStyle="1" w:styleId="BalloonTextChar">
    <w:name w:val="Balloon Text Char"/>
    <w:basedOn w:val="DefaultParagraphFont"/>
    <w:link w:val="BalloonText"/>
    <w:uiPriority w:val="99"/>
    <w:semiHidden/>
    <w:rsid w:val="008C1F7A"/>
    <w:rPr>
      <w:rFonts w:ascii="Tahoma" w:hAnsi="Tahoma" w:cs="Tahoma"/>
      <w:sz w:val="16"/>
      <w:szCs w:val="16"/>
      <w:lang w:val="es-ES" w:eastAsia="en-US"/>
    </w:rPr>
  </w:style>
  <w:style w:type="paragraph" w:styleId="Revision">
    <w:name w:val="Revision"/>
    <w:hidden/>
    <w:uiPriority w:val="99"/>
    <w:semiHidden/>
    <w:rsid w:val="008C1F7A"/>
    <w:rPr>
      <w:rFonts w:ascii="Arial" w:eastAsia="Calibri" w:hAnsi="Arial"/>
      <w:sz w:val="22"/>
      <w:szCs w:val="22"/>
      <w:lang w:val="en-US" w:eastAsia="en-US"/>
    </w:rPr>
  </w:style>
  <w:style w:type="table" w:customStyle="1" w:styleId="TableGrid1">
    <w:name w:val="Table Grid1"/>
    <w:basedOn w:val="TableNormal"/>
    <w:next w:val="TableGrid"/>
    <w:uiPriority w:val="59"/>
    <w:rsid w:val="008C1F7A"/>
    <w:pPr>
      <w:jc w:val="center"/>
    </w:pPr>
    <w:rPr>
      <w:rFonts w:ascii="Arial" w:eastAsia="Calibri" w:hAnsi="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8C1F7A"/>
    <w:rPr>
      <w:rFonts w:ascii="Times New Roman" w:hAnsi="Times New Roman" w:cs="Times New Roman" w:hint="default"/>
      <w:b w:val="0"/>
      <w:bCs w:val="0"/>
      <w:i w:val="0"/>
      <w:iCs w:val="0"/>
      <w:color w:val="000000"/>
      <w:sz w:val="28"/>
      <w:szCs w:val="28"/>
    </w:rPr>
  </w:style>
  <w:style w:type="character" w:customStyle="1" w:styleId="fontstyle21">
    <w:name w:val="fontstyle21"/>
    <w:rsid w:val="008C1F7A"/>
    <w:rPr>
      <w:rFonts w:ascii="Times New Roman" w:hAnsi="Times New Roman" w:cs="Times New Roman" w:hint="default"/>
      <w:b w:val="0"/>
      <w:bCs w:val="0"/>
      <w:i w:val="0"/>
      <w:iCs w:val="0"/>
      <w:color w:val="000000"/>
      <w:sz w:val="28"/>
      <w:szCs w:val="28"/>
    </w:rPr>
  </w:style>
  <w:style w:type="character" w:customStyle="1" w:styleId="FooterChar">
    <w:name w:val="Footer Char"/>
    <w:basedOn w:val="DefaultParagraphFont"/>
    <w:link w:val="Footer"/>
    <w:uiPriority w:val="99"/>
    <w:rsid w:val="008C1F7A"/>
    <w:rPr>
      <w:sz w:val="28"/>
      <w:szCs w:val="28"/>
      <w:lang w:val="es-ES" w:eastAsia="en-US"/>
    </w:rPr>
  </w:style>
  <w:style w:type="numbering" w:customStyle="1" w:styleId="NoList11">
    <w:name w:val="No List11"/>
    <w:next w:val="NoList"/>
    <w:uiPriority w:val="99"/>
    <w:semiHidden/>
    <w:unhideWhenUsed/>
    <w:rsid w:val="008C1F7A"/>
  </w:style>
  <w:style w:type="character" w:styleId="FollowedHyperlink">
    <w:name w:val="FollowedHyperlink"/>
    <w:basedOn w:val="DefaultParagraphFont"/>
    <w:uiPriority w:val="99"/>
    <w:unhideWhenUsed/>
    <w:rsid w:val="008C1F7A"/>
    <w:rPr>
      <w:color w:val="800080"/>
      <w:u w:val="single"/>
    </w:rPr>
  </w:style>
  <w:style w:type="paragraph" w:customStyle="1" w:styleId="font5">
    <w:name w:val="font5"/>
    <w:basedOn w:val="Normal"/>
    <w:rsid w:val="008C1F7A"/>
    <w:pPr>
      <w:spacing w:before="100" w:beforeAutospacing="1" w:after="100" w:afterAutospacing="1" w:line="240" w:lineRule="auto"/>
      <w:ind w:firstLine="0"/>
      <w:jc w:val="left"/>
    </w:pPr>
    <w:rPr>
      <w:color w:val="000000"/>
      <w:sz w:val="24"/>
      <w:szCs w:val="24"/>
      <w:lang w:val="en-US"/>
    </w:rPr>
  </w:style>
  <w:style w:type="paragraph" w:customStyle="1" w:styleId="xl95">
    <w:name w:val="xl95"/>
    <w:basedOn w:val="Normal"/>
    <w:rsid w:val="008C1F7A"/>
    <w:pPr>
      <w:spacing w:before="100" w:beforeAutospacing="1" w:after="100" w:afterAutospacing="1" w:line="240" w:lineRule="auto"/>
      <w:ind w:firstLine="0"/>
      <w:jc w:val="left"/>
    </w:pPr>
    <w:rPr>
      <w:color w:val="000000"/>
      <w:sz w:val="26"/>
      <w:szCs w:val="26"/>
      <w:lang w:val="en-US"/>
    </w:rPr>
  </w:style>
  <w:style w:type="paragraph" w:customStyle="1" w:styleId="xl96">
    <w:name w:val="xl96"/>
    <w:basedOn w:val="Normal"/>
    <w:rsid w:val="008C1F7A"/>
    <w:pPr>
      <w:spacing w:before="100" w:beforeAutospacing="1" w:after="100" w:afterAutospacing="1" w:line="240" w:lineRule="auto"/>
      <w:ind w:firstLine="0"/>
      <w:jc w:val="center"/>
    </w:pPr>
    <w:rPr>
      <w:color w:val="000000"/>
      <w:lang w:val="en-US"/>
    </w:rPr>
  </w:style>
  <w:style w:type="paragraph" w:customStyle="1" w:styleId="xl97">
    <w:name w:val="xl97"/>
    <w:basedOn w:val="Normal"/>
    <w:rsid w:val="008C1F7A"/>
    <w:pPr>
      <w:spacing w:before="100" w:beforeAutospacing="1" w:after="100" w:afterAutospacing="1" w:line="240" w:lineRule="auto"/>
      <w:ind w:firstLine="0"/>
      <w:jc w:val="center"/>
    </w:pPr>
    <w:rPr>
      <w:i/>
      <w:iCs/>
      <w:color w:val="000000"/>
      <w:sz w:val="26"/>
      <w:szCs w:val="26"/>
      <w:lang w:val="en-US"/>
    </w:rPr>
  </w:style>
  <w:style w:type="paragraph" w:customStyle="1" w:styleId="xl98">
    <w:name w:val="xl98"/>
    <w:basedOn w:val="Normal"/>
    <w:rsid w:val="008C1F7A"/>
    <w:pPr>
      <w:spacing w:before="100" w:beforeAutospacing="1" w:after="100" w:afterAutospacing="1" w:line="240" w:lineRule="auto"/>
      <w:ind w:firstLine="0"/>
      <w:jc w:val="left"/>
      <w:textAlignment w:val="center"/>
    </w:pPr>
    <w:rPr>
      <w:b/>
      <w:bCs/>
      <w:lang w:val="en-US"/>
    </w:rPr>
  </w:style>
  <w:style w:type="paragraph" w:customStyle="1" w:styleId="xl99">
    <w:name w:val="xl99"/>
    <w:basedOn w:val="Normal"/>
    <w:rsid w:val="008C1F7A"/>
    <w:pPr>
      <w:spacing w:before="100" w:beforeAutospacing="1" w:after="100" w:afterAutospacing="1" w:line="240" w:lineRule="auto"/>
      <w:ind w:firstLine="0"/>
      <w:jc w:val="left"/>
    </w:pPr>
    <w:rPr>
      <w:color w:val="000000"/>
      <w:lang w:val="en-US"/>
    </w:rPr>
  </w:style>
  <w:style w:type="paragraph" w:customStyle="1" w:styleId="xl100">
    <w:name w:val="xl100"/>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lang w:val="en-US"/>
    </w:rPr>
  </w:style>
  <w:style w:type="paragraph" w:customStyle="1" w:styleId="xl101">
    <w:name w:val="xl101"/>
    <w:basedOn w:val="Normal"/>
    <w:rsid w:val="008C1F7A"/>
    <w:pPr>
      <w:spacing w:before="100" w:beforeAutospacing="1" w:after="100" w:afterAutospacing="1" w:line="240" w:lineRule="auto"/>
      <w:ind w:firstLine="0"/>
      <w:jc w:val="left"/>
    </w:pPr>
    <w:rPr>
      <w:color w:val="000000"/>
      <w:lang w:val="en-US"/>
    </w:rPr>
  </w:style>
  <w:style w:type="paragraph" w:customStyle="1" w:styleId="xl102">
    <w:name w:val="xl102"/>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lang w:val="en-US"/>
    </w:rPr>
  </w:style>
  <w:style w:type="paragraph" w:customStyle="1" w:styleId="xl103">
    <w:name w:val="xl103"/>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lang w:val="en-US"/>
    </w:rPr>
  </w:style>
  <w:style w:type="paragraph" w:customStyle="1" w:styleId="xl104">
    <w:name w:val="xl104"/>
    <w:basedOn w:val="Normal"/>
    <w:rsid w:val="008C1F7A"/>
    <w:pPr>
      <w:spacing w:before="100" w:beforeAutospacing="1" w:after="100" w:afterAutospacing="1" w:line="240" w:lineRule="auto"/>
      <w:ind w:firstLine="0"/>
      <w:jc w:val="left"/>
      <w:textAlignment w:val="center"/>
    </w:pPr>
    <w:rPr>
      <w:b/>
      <w:bCs/>
      <w:lang w:val="en-US"/>
    </w:rPr>
  </w:style>
  <w:style w:type="paragraph" w:customStyle="1" w:styleId="xl105">
    <w:name w:val="xl105"/>
    <w:basedOn w:val="Normal"/>
    <w:rsid w:val="008C1F7A"/>
    <w:pPr>
      <w:spacing w:before="100" w:beforeAutospacing="1" w:after="100" w:afterAutospacing="1" w:line="240" w:lineRule="auto"/>
      <w:ind w:firstLine="0"/>
      <w:jc w:val="left"/>
      <w:textAlignment w:val="center"/>
    </w:pPr>
    <w:rPr>
      <w:b/>
      <w:bCs/>
      <w:color w:val="000000"/>
      <w:sz w:val="26"/>
      <w:szCs w:val="26"/>
      <w:lang w:val="en-US"/>
    </w:rPr>
  </w:style>
  <w:style w:type="paragraph" w:customStyle="1" w:styleId="xl106">
    <w:name w:val="xl106"/>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26"/>
      <w:szCs w:val="26"/>
      <w:lang w:val="en-US"/>
    </w:rPr>
  </w:style>
  <w:style w:type="paragraph" w:customStyle="1" w:styleId="xl107">
    <w:name w:val="xl107"/>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z w:val="26"/>
      <w:szCs w:val="26"/>
      <w:lang w:val="en-US"/>
    </w:rPr>
  </w:style>
  <w:style w:type="paragraph" w:customStyle="1" w:styleId="xl108">
    <w:name w:val="xl108"/>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09">
    <w:name w:val="xl109"/>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10">
    <w:name w:val="xl110"/>
    <w:basedOn w:val="Normal"/>
    <w:rsid w:val="008C1F7A"/>
    <w:pPr>
      <w:spacing w:before="100" w:beforeAutospacing="1" w:after="100" w:afterAutospacing="1" w:line="240" w:lineRule="auto"/>
      <w:ind w:firstLine="0"/>
      <w:jc w:val="left"/>
      <w:textAlignment w:val="center"/>
    </w:pPr>
    <w:rPr>
      <w:lang w:val="en-US"/>
    </w:rPr>
  </w:style>
  <w:style w:type="paragraph" w:customStyle="1" w:styleId="xl111">
    <w:name w:val="xl111"/>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12">
    <w:name w:val="xl112"/>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13">
    <w:name w:val="xl113"/>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14">
    <w:name w:val="xl114"/>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4"/>
      <w:szCs w:val="24"/>
      <w:lang w:val="en-US"/>
    </w:rPr>
  </w:style>
  <w:style w:type="paragraph" w:customStyle="1" w:styleId="xl115">
    <w:name w:val="xl115"/>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16">
    <w:name w:val="xl116"/>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4"/>
      <w:szCs w:val="24"/>
      <w:lang w:val="en-US"/>
    </w:rPr>
  </w:style>
  <w:style w:type="paragraph" w:customStyle="1" w:styleId="xl117">
    <w:name w:val="xl117"/>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lang w:val="en-US"/>
    </w:rPr>
  </w:style>
  <w:style w:type="paragraph" w:customStyle="1" w:styleId="xl118">
    <w:name w:val="xl118"/>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lang w:val="en-US"/>
    </w:rPr>
  </w:style>
  <w:style w:type="paragraph" w:customStyle="1" w:styleId="xl119">
    <w:name w:val="xl119"/>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20">
    <w:name w:val="xl120"/>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lang w:val="en-US"/>
    </w:rPr>
  </w:style>
  <w:style w:type="paragraph" w:customStyle="1" w:styleId="xl121">
    <w:name w:val="xl121"/>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lang w:val="en-US"/>
    </w:rPr>
  </w:style>
  <w:style w:type="paragraph" w:customStyle="1" w:styleId="xl122">
    <w:name w:val="xl122"/>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lang w:val="en-US"/>
    </w:rPr>
  </w:style>
  <w:style w:type="paragraph" w:customStyle="1" w:styleId="xl123">
    <w:name w:val="xl123"/>
    <w:basedOn w:val="Normal"/>
    <w:rsid w:val="008C1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color w:val="000000"/>
      <w:sz w:val="24"/>
      <w:szCs w:val="24"/>
      <w:lang w:val="en-US"/>
    </w:rPr>
  </w:style>
  <w:style w:type="paragraph" w:customStyle="1" w:styleId="xl124">
    <w:name w:val="xl124"/>
    <w:basedOn w:val="Normal"/>
    <w:rsid w:val="008C1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lang w:val="en-US"/>
    </w:rPr>
  </w:style>
  <w:style w:type="paragraph" w:customStyle="1" w:styleId="xl125">
    <w:name w:val="xl125"/>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lang w:val="en-US"/>
    </w:rPr>
  </w:style>
  <w:style w:type="paragraph" w:customStyle="1" w:styleId="xl126">
    <w:name w:val="xl126"/>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lang w:val="en-US"/>
    </w:rPr>
  </w:style>
  <w:style w:type="paragraph" w:customStyle="1" w:styleId="xl127">
    <w:name w:val="xl127"/>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28">
    <w:name w:val="xl128"/>
    <w:basedOn w:val="Normal"/>
    <w:rsid w:val="008C1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color w:val="000000"/>
      <w:sz w:val="24"/>
      <w:szCs w:val="24"/>
      <w:lang w:val="en-US"/>
    </w:rPr>
  </w:style>
  <w:style w:type="paragraph" w:customStyle="1" w:styleId="xl129">
    <w:name w:val="xl129"/>
    <w:basedOn w:val="Normal"/>
    <w:rsid w:val="008C1F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lang w:val="en-US"/>
    </w:rPr>
  </w:style>
  <w:style w:type="paragraph" w:customStyle="1" w:styleId="xl130">
    <w:name w:val="xl130"/>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4"/>
      <w:szCs w:val="24"/>
      <w:lang w:val="en-US"/>
    </w:rPr>
  </w:style>
  <w:style w:type="paragraph" w:customStyle="1" w:styleId="xl131">
    <w:name w:val="xl131"/>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4"/>
      <w:szCs w:val="24"/>
      <w:lang w:val="en-US"/>
    </w:rPr>
  </w:style>
  <w:style w:type="paragraph" w:customStyle="1" w:styleId="xl132">
    <w:name w:val="xl132"/>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lang w:val="en-US"/>
    </w:rPr>
  </w:style>
  <w:style w:type="paragraph" w:customStyle="1" w:styleId="xl133">
    <w:name w:val="xl133"/>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4"/>
      <w:szCs w:val="24"/>
      <w:lang w:val="en-US"/>
    </w:rPr>
  </w:style>
  <w:style w:type="paragraph" w:customStyle="1" w:styleId="xl134">
    <w:name w:val="xl134"/>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lang w:val="en-US"/>
    </w:rPr>
  </w:style>
  <w:style w:type="paragraph" w:customStyle="1" w:styleId="xl135">
    <w:name w:val="xl135"/>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4"/>
      <w:szCs w:val="24"/>
      <w:lang w:val="en-US"/>
    </w:rPr>
  </w:style>
  <w:style w:type="paragraph" w:customStyle="1" w:styleId="xl136">
    <w:name w:val="xl136"/>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color w:val="000000"/>
      <w:sz w:val="24"/>
      <w:szCs w:val="24"/>
      <w:lang w:val="en-US"/>
    </w:rPr>
  </w:style>
  <w:style w:type="paragraph" w:customStyle="1" w:styleId="xl137">
    <w:name w:val="xl137"/>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lang w:val="en-US"/>
    </w:rPr>
  </w:style>
  <w:style w:type="paragraph" w:customStyle="1" w:styleId="xl138">
    <w:name w:val="xl138"/>
    <w:basedOn w:val="Normal"/>
    <w:rsid w:val="008C1F7A"/>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lang w:val="en-US"/>
    </w:rPr>
  </w:style>
  <w:style w:type="paragraph" w:customStyle="1" w:styleId="xl139">
    <w:name w:val="xl139"/>
    <w:basedOn w:val="Normal"/>
    <w:rsid w:val="008C1F7A"/>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z w:val="24"/>
      <w:szCs w:val="24"/>
      <w:lang w:val="en-US"/>
    </w:rPr>
  </w:style>
  <w:style w:type="paragraph" w:customStyle="1" w:styleId="xl140">
    <w:name w:val="xl140"/>
    <w:basedOn w:val="Normal"/>
    <w:rsid w:val="008C1F7A"/>
    <w:pPr>
      <w:spacing w:before="100" w:beforeAutospacing="1" w:after="100" w:afterAutospacing="1" w:line="240" w:lineRule="auto"/>
      <w:ind w:firstLine="0"/>
      <w:jc w:val="center"/>
    </w:pPr>
    <w:rPr>
      <w:b/>
      <w:bCs/>
      <w:color w:val="000000"/>
      <w:sz w:val="26"/>
      <w:szCs w:val="26"/>
      <w:lang w:val="en-US"/>
    </w:rPr>
  </w:style>
  <w:style w:type="paragraph" w:customStyle="1" w:styleId="xl141">
    <w:name w:val="xl141"/>
    <w:basedOn w:val="Normal"/>
    <w:rsid w:val="008C1F7A"/>
    <w:pPr>
      <w:spacing w:before="100" w:beforeAutospacing="1" w:after="100" w:afterAutospacing="1" w:line="240" w:lineRule="auto"/>
      <w:ind w:firstLine="0"/>
      <w:jc w:val="left"/>
    </w:pPr>
    <w:rPr>
      <w:color w:val="000000"/>
      <w:sz w:val="26"/>
      <w:szCs w:val="26"/>
      <w:lang w:val="en-US"/>
    </w:rPr>
  </w:style>
  <w:style w:type="paragraph" w:customStyle="1" w:styleId="xl142">
    <w:name w:val="xl142"/>
    <w:basedOn w:val="Normal"/>
    <w:rsid w:val="008C1F7A"/>
    <w:pPr>
      <w:spacing w:before="100" w:beforeAutospacing="1" w:after="100" w:afterAutospacing="1" w:line="240" w:lineRule="auto"/>
      <w:ind w:firstLine="0"/>
      <w:jc w:val="center"/>
    </w:pPr>
    <w:rPr>
      <w:i/>
      <w:iCs/>
      <w:sz w:val="26"/>
      <w:szCs w:val="26"/>
      <w:lang w:val="en-US"/>
    </w:rPr>
  </w:style>
  <w:style w:type="paragraph" w:customStyle="1" w:styleId="xl143">
    <w:name w:val="xl143"/>
    <w:basedOn w:val="Normal"/>
    <w:rsid w:val="008C1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lang w:val="en-US"/>
    </w:rPr>
  </w:style>
  <w:style w:type="paragraph" w:customStyle="1" w:styleId="3">
    <w:name w:val="3"/>
    <w:basedOn w:val="Normal"/>
    <w:qFormat/>
    <w:rsid w:val="008C1F7A"/>
    <w:pPr>
      <w:spacing w:after="0" w:line="360" w:lineRule="auto"/>
      <w:ind w:right="-1" w:firstLine="0"/>
      <w:outlineLvl w:val="1"/>
    </w:pPr>
    <w:rPr>
      <w:i/>
      <w:sz w:val="26"/>
      <w:szCs w:val="26"/>
      <w:lang w:val="nl-NL"/>
    </w:rPr>
  </w:style>
  <w:style w:type="paragraph" w:styleId="TOCHeading">
    <w:name w:val="TOC Heading"/>
    <w:basedOn w:val="Heading1"/>
    <w:next w:val="Normal"/>
    <w:uiPriority w:val="39"/>
    <w:unhideWhenUsed/>
    <w:qFormat/>
    <w:rsid w:val="000B46BE"/>
    <w:pPr>
      <w:spacing w:before="240" w:after="0" w:line="259" w:lineRule="auto"/>
      <w:jc w:val="left"/>
      <w:outlineLvl w:val="9"/>
    </w:pPr>
    <w:rPr>
      <w:b w:val="0"/>
      <w:color w:val="2E74B5" w:themeColor="accent1" w:themeShade="BF"/>
      <w:sz w:val="32"/>
      <w:lang w:val="en-US"/>
    </w:rPr>
  </w:style>
  <w:style w:type="paragraph" w:styleId="TOC1">
    <w:name w:val="toc 1"/>
    <w:basedOn w:val="Normal"/>
    <w:next w:val="Normal"/>
    <w:autoRedefine/>
    <w:uiPriority w:val="39"/>
    <w:rsid w:val="000B46BE"/>
    <w:pPr>
      <w:spacing w:after="100"/>
    </w:pPr>
  </w:style>
  <w:style w:type="paragraph" w:styleId="TOC2">
    <w:name w:val="toc 2"/>
    <w:basedOn w:val="Normal"/>
    <w:next w:val="Normal"/>
    <w:autoRedefine/>
    <w:uiPriority w:val="39"/>
    <w:rsid w:val="000B46BE"/>
    <w:pPr>
      <w:spacing w:after="100"/>
      <w:ind w:left="280"/>
    </w:pPr>
  </w:style>
  <w:style w:type="paragraph" w:styleId="TOC3">
    <w:name w:val="toc 3"/>
    <w:basedOn w:val="Normal"/>
    <w:next w:val="Normal"/>
    <w:autoRedefine/>
    <w:uiPriority w:val="39"/>
    <w:rsid w:val="000B46BE"/>
    <w:pPr>
      <w:tabs>
        <w:tab w:val="right" w:leader="dot" w:pos="9062"/>
      </w:tabs>
      <w:spacing w:after="100" w:line="240" w:lineRule="auto"/>
      <w:ind w:left="5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997">
      <w:bodyDiv w:val="1"/>
      <w:marLeft w:val="0"/>
      <w:marRight w:val="0"/>
      <w:marTop w:val="0"/>
      <w:marBottom w:val="0"/>
      <w:divBdr>
        <w:top w:val="none" w:sz="0" w:space="0" w:color="auto"/>
        <w:left w:val="none" w:sz="0" w:space="0" w:color="auto"/>
        <w:bottom w:val="none" w:sz="0" w:space="0" w:color="auto"/>
        <w:right w:val="none" w:sz="0" w:space="0" w:color="auto"/>
      </w:divBdr>
      <w:divsChild>
        <w:div w:id="1951012168">
          <w:marLeft w:val="0"/>
          <w:marRight w:val="0"/>
          <w:marTop w:val="0"/>
          <w:marBottom w:val="0"/>
          <w:divBdr>
            <w:top w:val="none" w:sz="0" w:space="0" w:color="auto"/>
            <w:left w:val="none" w:sz="0" w:space="0" w:color="auto"/>
            <w:bottom w:val="none" w:sz="0" w:space="0" w:color="auto"/>
            <w:right w:val="none" w:sz="0" w:space="0" w:color="auto"/>
          </w:divBdr>
        </w:div>
      </w:divsChild>
    </w:div>
    <w:div w:id="59064584">
      <w:bodyDiv w:val="1"/>
      <w:marLeft w:val="0"/>
      <w:marRight w:val="0"/>
      <w:marTop w:val="0"/>
      <w:marBottom w:val="0"/>
      <w:divBdr>
        <w:top w:val="none" w:sz="0" w:space="0" w:color="auto"/>
        <w:left w:val="none" w:sz="0" w:space="0" w:color="auto"/>
        <w:bottom w:val="none" w:sz="0" w:space="0" w:color="auto"/>
        <w:right w:val="none" w:sz="0" w:space="0" w:color="auto"/>
      </w:divBdr>
    </w:div>
    <w:div w:id="128405904">
      <w:bodyDiv w:val="1"/>
      <w:marLeft w:val="0"/>
      <w:marRight w:val="0"/>
      <w:marTop w:val="0"/>
      <w:marBottom w:val="0"/>
      <w:divBdr>
        <w:top w:val="none" w:sz="0" w:space="0" w:color="auto"/>
        <w:left w:val="none" w:sz="0" w:space="0" w:color="auto"/>
        <w:bottom w:val="none" w:sz="0" w:space="0" w:color="auto"/>
        <w:right w:val="none" w:sz="0" w:space="0" w:color="auto"/>
      </w:divBdr>
      <w:divsChild>
        <w:div w:id="1972250904">
          <w:marLeft w:val="0"/>
          <w:marRight w:val="0"/>
          <w:marTop w:val="0"/>
          <w:marBottom w:val="0"/>
          <w:divBdr>
            <w:top w:val="none" w:sz="0" w:space="0" w:color="auto"/>
            <w:left w:val="none" w:sz="0" w:space="0" w:color="auto"/>
            <w:bottom w:val="none" w:sz="0" w:space="0" w:color="auto"/>
            <w:right w:val="none" w:sz="0" w:space="0" w:color="auto"/>
          </w:divBdr>
        </w:div>
      </w:divsChild>
    </w:div>
    <w:div w:id="210003689">
      <w:bodyDiv w:val="1"/>
      <w:marLeft w:val="0"/>
      <w:marRight w:val="0"/>
      <w:marTop w:val="0"/>
      <w:marBottom w:val="0"/>
      <w:divBdr>
        <w:top w:val="none" w:sz="0" w:space="0" w:color="auto"/>
        <w:left w:val="none" w:sz="0" w:space="0" w:color="auto"/>
        <w:bottom w:val="none" w:sz="0" w:space="0" w:color="auto"/>
        <w:right w:val="none" w:sz="0" w:space="0" w:color="auto"/>
      </w:divBdr>
    </w:div>
    <w:div w:id="319577795">
      <w:bodyDiv w:val="1"/>
      <w:marLeft w:val="0"/>
      <w:marRight w:val="0"/>
      <w:marTop w:val="0"/>
      <w:marBottom w:val="0"/>
      <w:divBdr>
        <w:top w:val="none" w:sz="0" w:space="0" w:color="auto"/>
        <w:left w:val="none" w:sz="0" w:space="0" w:color="auto"/>
        <w:bottom w:val="none" w:sz="0" w:space="0" w:color="auto"/>
        <w:right w:val="none" w:sz="0" w:space="0" w:color="auto"/>
      </w:divBdr>
    </w:div>
    <w:div w:id="324744757">
      <w:bodyDiv w:val="1"/>
      <w:marLeft w:val="0"/>
      <w:marRight w:val="0"/>
      <w:marTop w:val="0"/>
      <w:marBottom w:val="0"/>
      <w:divBdr>
        <w:top w:val="none" w:sz="0" w:space="0" w:color="auto"/>
        <w:left w:val="none" w:sz="0" w:space="0" w:color="auto"/>
        <w:bottom w:val="none" w:sz="0" w:space="0" w:color="auto"/>
        <w:right w:val="none" w:sz="0" w:space="0" w:color="auto"/>
      </w:divBdr>
    </w:div>
    <w:div w:id="482619631">
      <w:bodyDiv w:val="1"/>
      <w:marLeft w:val="0"/>
      <w:marRight w:val="0"/>
      <w:marTop w:val="0"/>
      <w:marBottom w:val="0"/>
      <w:divBdr>
        <w:top w:val="none" w:sz="0" w:space="0" w:color="auto"/>
        <w:left w:val="none" w:sz="0" w:space="0" w:color="auto"/>
        <w:bottom w:val="none" w:sz="0" w:space="0" w:color="auto"/>
        <w:right w:val="none" w:sz="0" w:space="0" w:color="auto"/>
      </w:divBdr>
    </w:div>
    <w:div w:id="490604166">
      <w:bodyDiv w:val="1"/>
      <w:marLeft w:val="0"/>
      <w:marRight w:val="0"/>
      <w:marTop w:val="0"/>
      <w:marBottom w:val="0"/>
      <w:divBdr>
        <w:top w:val="none" w:sz="0" w:space="0" w:color="auto"/>
        <w:left w:val="none" w:sz="0" w:space="0" w:color="auto"/>
        <w:bottom w:val="none" w:sz="0" w:space="0" w:color="auto"/>
        <w:right w:val="none" w:sz="0" w:space="0" w:color="auto"/>
      </w:divBdr>
    </w:div>
    <w:div w:id="524485832">
      <w:bodyDiv w:val="1"/>
      <w:marLeft w:val="0"/>
      <w:marRight w:val="0"/>
      <w:marTop w:val="0"/>
      <w:marBottom w:val="0"/>
      <w:divBdr>
        <w:top w:val="none" w:sz="0" w:space="0" w:color="auto"/>
        <w:left w:val="none" w:sz="0" w:space="0" w:color="auto"/>
        <w:bottom w:val="none" w:sz="0" w:space="0" w:color="auto"/>
        <w:right w:val="none" w:sz="0" w:space="0" w:color="auto"/>
      </w:divBdr>
    </w:div>
    <w:div w:id="605582350">
      <w:bodyDiv w:val="1"/>
      <w:marLeft w:val="0"/>
      <w:marRight w:val="0"/>
      <w:marTop w:val="0"/>
      <w:marBottom w:val="0"/>
      <w:divBdr>
        <w:top w:val="none" w:sz="0" w:space="0" w:color="auto"/>
        <w:left w:val="none" w:sz="0" w:space="0" w:color="auto"/>
        <w:bottom w:val="none" w:sz="0" w:space="0" w:color="auto"/>
        <w:right w:val="none" w:sz="0" w:space="0" w:color="auto"/>
      </w:divBdr>
    </w:div>
    <w:div w:id="696152872">
      <w:bodyDiv w:val="1"/>
      <w:marLeft w:val="0"/>
      <w:marRight w:val="0"/>
      <w:marTop w:val="0"/>
      <w:marBottom w:val="0"/>
      <w:divBdr>
        <w:top w:val="none" w:sz="0" w:space="0" w:color="auto"/>
        <w:left w:val="none" w:sz="0" w:space="0" w:color="auto"/>
        <w:bottom w:val="none" w:sz="0" w:space="0" w:color="auto"/>
        <w:right w:val="none" w:sz="0" w:space="0" w:color="auto"/>
      </w:divBdr>
    </w:div>
    <w:div w:id="922764601">
      <w:bodyDiv w:val="1"/>
      <w:marLeft w:val="0"/>
      <w:marRight w:val="0"/>
      <w:marTop w:val="0"/>
      <w:marBottom w:val="0"/>
      <w:divBdr>
        <w:top w:val="none" w:sz="0" w:space="0" w:color="auto"/>
        <w:left w:val="none" w:sz="0" w:space="0" w:color="auto"/>
        <w:bottom w:val="none" w:sz="0" w:space="0" w:color="auto"/>
        <w:right w:val="none" w:sz="0" w:space="0" w:color="auto"/>
      </w:divBdr>
      <w:divsChild>
        <w:div w:id="704401478">
          <w:marLeft w:val="0"/>
          <w:marRight w:val="0"/>
          <w:marTop w:val="0"/>
          <w:marBottom w:val="0"/>
          <w:divBdr>
            <w:top w:val="none" w:sz="0" w:space="0" w:color="auto"/>
            <w:left w:val="none" w:sz="0" w:space="0" w:color="auto"/>
            <w:bottom w:val="none" w:sz="0" w:space="0" w:color="auto"/>
            <w:right w:val="none" w:sz="0" w:space="0" w:color="auto"/>
          </w:divBdr>
        </w:div>
      </w:divsChild>
    </w:div>
    <w:div w:id="981152926">
      <w:bodyDiv w:val="1"/>
      <w:marLeft w:val="0"/>
      <w:marRight w:val="0"/>
      <w:marTop w:val="0"/>
      <w:marBottom w:val="0"/>
      <w:divBdr>
        <w:top w:val="none" w:sz="0" w:space="0" w:color="auto"/>
        <w:left w:val="none" w:sz="0" w:space="0" w:color="auto"/>
        <w:bottom w:val="none" w:sz="0" w:space="0" w:color="auto"/>
        <w:right w:val="none" w:sz="0" w:space="0" w:color="auto"/>
      </w:divBdr>
    </w:div>
    <w:div w:id="996955639">
      <w:bodyDiv w:val="1"/>
      <w:marLeft w:val="0"/>
      <w:marRight w:val="0"/>
      <w:marTop w:val="0"/>
      <w:marBottom w:val="0"/>
      <w:divBdr>
        <w:top w:val="none" w:sz="0" w:space="0" w:color="auto"/>
        <w:left w:val="none" w:sz="0" w:space="0" w:color="auto"/>
        <w:bottom w:val="none" w:sz="0" w:space="0" w:color="auto"/>
        <w:right w:val="none" w:sz="0" w:space="0" w:color="auto"/>
      </w:divBdr>
    </w:div>
    <w:div w:id="1001932253">
      <w:bodyDiv w:val="1"/>
      <w:marLeft w:val="0"/>
      <w:marRight w:val="0"/>
      <w:marTop w:val="0"/>
      <w:marBottom w:val="0"/>
      <w:divBdr>
        <w:top w:val="none" w:sz="0" w:space="0" w:color="auto"/>
        <w:left w:val="none" w:sz="0" w:space="0" w:color="auto"/>
        <w:bottom w:val="none" w:sz="0" w:space="0" w:color="auto"/>
        <w:right w:val="none" w:sz="0" w:space="0" w:color="auto"/>
      </w:divBdr>
    </w:div>
    <w:div w:id="1140146650">
      <w:bodyDiv w:val="1"/>
      <w:marLeft w:val="0"/>
      <w:marRight w:val="0"/>
      <w:marTop w:val="0"/>
      <w:marBottom w:val="0"/>
      <w:divBdr>
        <w:top w:val="none" w:sz="0" w:space="0" w:color="auto"/>
        <w:left w:val="none" w:sz="0" w:space="0" w:color="auto"/>
        <w:bottom w:val="none" w:sz="0" w:space="0" w:color="auto"/>
        <w:right w:val="none" w:sz="0" w:space="0" w:color="auto"/>
      </w:divBdr>
    </w:div>
    <w:div w:id="1143962509">
      <w:bodyDiv w:val="1"/>
      <w:marLeft w:val="0"/>
      <w:marRight w:val="0"/>
      <w:marTop w:val="0"/>
      <w:marBottom w:val="0"/>
      <w:divBdr>
        <w:top w:val="none" w:sz="0" w:space="0" w:color="auto"/>
        <w:left w:val="none" w:sz="0" w:space="0" w:color="auto"/>
        <w:bottom w:val="none" w:sz="0" w:space="0" w:color="auto"/>
        <w:right w:val="none" w:sz="0" w:space="0" w:color="auto"/>
      </w:divBdr>
    </w:div>
    <w:div w:id="1166048671">
      <w:bodyDiv w:val="1"/>
      <w:marLeft w:val="0"/>
      <w:marRight w:val="0"/>
      <w:marTop w:val="0"/>
      <w:marBottom w:val="0"/>
      <w:divBdr>
        <w:top w:val="none" w:sz="0" w:space="0" w:color="auto"/>
        <w:left w:val="none" w:sz="0" w:space="0" w:color="auto"/>
        <w:bottom w:val="none" w:sz="0" w:space="0" w:color="auto"/>
        <w:right w:val="none" w:sz="0" w:space="0" w:color="auto"/>
      </w:divBdr>
    </w:div>
    <w:div w:id="1182233465">
      <w:bodyDiv w:val="1"/>
      <w:marLeft w:val="0"/>
      <w:marRight w:val="0"/>
      <w:marTop w:val="0"/>
      <w:marBottom w:val="0"/>
      <w:divBdr>
        <w:top w:val="none" w:sz="0" w:space="0" w:color="auto"/>
        <w:left w:val="none" w:sz="0" w:space="0" w:color="auto"/>
        <w:bottom w:val="none" w:sz="0" w:space="0" w:color="auto"/>
        <w:right w:val="none" w:sz="0" w:space="0" w:color="auto"/>
      </w:divBdr>
    </w:div>
    <w:div w:id="1233933973">
      <w:bodyDiv w:val="1"/>
      <w:marLeft w:val="0"/>
      <w:marRight w:val="0"/>
      <w:marTop w:val="0"/>
      <w:marBottom w:val="0"/>
      <w:divBdr>
        <w:top w:val="none" w:sz="0" w:space="0" w:color="auto"/>
        <w:left w:val="none" w:sz="0" w:space="0" w:color="auto"/>
        <w:bottom w:val="none" w:sz="0" w:space="0" w:color="auto"/>
        <w:right w:val="none" w:sz="0" w:space="0" w:color="auto"/>
      </w:divBdr>
      <w:divsChild>
        <w:div w:id="668949335">
          <w:marLeft w:val="0"/>
          <w:marRight w:val="0"/>
          <w:marTop w:val="0"/>
          <w:marBottom w:val="0"/>
          <w:divBdr>
            <w:top w:val="none" w:sz="0" w:space="0" w:color="auto"/>
            <w:left w:val="none" w:sz="0" w:space="0" w:color="auto"/>
            <w:bottom w:val="none" w:sz="0" w:space="0" w:color="auto"/>
            <w:right w:val="none" w:sz="0" w:space="0" w:color="auto"/>
          </w:divBdr>
        </w:div>
      </w:divsChild>
    </w:div>
    <w:div w:id="1452238646">
      <w:bodyDiv w:val="1"/>
      <w:marLeft w:val="0"/>
      <w:marRight w:val="0"/>
      <w:marTop w:val="0"/>
      <w:marBottom w:val="0"/>
      <w:divBdr>
        <w:top w:val="none" w:sz="0" w:space="0" w:color="auto"/>
        <w:left w:val="none" w:sz="0" w:space="0" w:color="auto"/>
        <w:bottom w:val="none" w:sz="0" w:space="0" w:color="auto"/>
        <w:right w:val="none" w:sz="0" w:space="0" w:color="auto"/>
      </w:divBdr>
    </w:div>
    <w:div w:id="1480880141">
      <w:bodyDiv w:val="1"/>
      <w:marLeft w:val="0"/>
      <w:marRight w:val="0"/>
      <w:marTop w:val="0"/>
      <w:marBottom w:val="0"/>
      <w:divBdr>
        <w:top w:val="none" w:sz="0" w:space="0" w:color="auto"/>
        <w:left w:val="none" w:sz="0" w:space="0" w:color="auto"/>
        <w:bottom w:val="none" w:sz="0" w:space="0" w:color="auto"/>
        <w:right w:val="none" w:sz="0" w:space="0" w:color="auto"/>
      </w:divBdr>
    </w:div>
    <w:div w:id="1510485748">
      <w:bodyDiv w:val="1"/>
      <w:marLeft w:val="0"/>
      <w:marRight w:val="0"/>
      <w:marTop w:val="0"/>
      <w:marBottom w:val="0"/>
      <w:divBdr>
        <w:top w:val="none" w:sz="0" w:space="0" w:color="auto"/>
        <w:left w:val="none" w:sz="0" w:space="0" w:color="auto"/>
        <w:bottom w:val="none" w:sz="0" w:space="0" w:color="auto"/>
        <w:right w:val="none" w:sz="0" w:space="0" w:color="auto"/>
      </w:divBdr>
    </w:div>
    <w:div w:id="1557202462">
      <w:bodyDiv w:val="1"/>
      <w:marLeft w:val="0"/>
      <w:marRight w:val="0"/>
      <w:marTop w:val="0"/>
      <w:marBottom w:val="0"/>
      <w:divBdr>
        <w:top w:val="none" w:sz="0" w:space="0" w:color="auto"/>
        <w:left w:val="none" w:sz="0" w:space="0" w:color="auto"/>
        <w:bottom w:val="none" w:sz="0" w:space="0" w:color="auto"/>
        <w:right w:val="none" w:sz="0" w:space="0" w:color="auto"/>
      </w:divBdr>
    </w:div>
    <w:div w:id="1605067005">
      <w:bodyDiv w:val="1"/>
      <w:marLeft w:val="0"/>
      <w:marRight w:val="0"/>
      <w:marTop w:val="0"/>
      <w:marBottom w:val="0"/>
      <w:divBdr>
        <w:top w:val="none" w:sz="0" w:space="0" w:color="auto"/>
        <w:left w:val="none" w:sz="0" w:space="0" w:color="auto"/>
        <w:bottom w:val="none" w:sz="0" w:space="0" w:color="auto"/>
        <w:right w:val="none" w:sz="0" w:space="0" w:color="auto"/>
      </w:divBdr>
    </w:div>
    <w:div w:id="1783189151">
      <w:bodyDiv w:val="1"/>
      <w:marLeft w:val="0"/>
      <w:marRight w:val="0"/>
      <w:marTop w:val="0"/>
      <w:marBottom w:val="0"/>
      <w:divBdr>
        <w:top w:val="none" w:sz="0" w:space="0" w:color="auto"/>
        <w:left w:val="none" w:sz="0" w:space="0" w:color="auto"/>
        <w:bottom w:val="none" w:sz="0" w:space="0" w:color="auto"/>
        <w:right w:val="none" w:sz="0" w:space="0" w:color="auto"/>
      </w:divBdr>
    </w:div>
    <w:div w:id="1819304063">
      <w:bodyDiv w:val="1"/>
      <w:marLeft w:val="0"/>
      <w:marRight w:val="0"/>
      <w:marTop w:val="0"/>
      <w:marBottom w:val="0"/>
      <w:divBdr>
        <w:top w:val="none" w:sz="0" w:space="0" w:color="auto"/>
        <w:left w:val="none" w:sz="0" w:space="0" w:color="auto"/>
        <w:bottom w:val="none" w:sz="0" w:space="0" w:color="auto"/>
        <w:right w:val="none" w:sz="0" w:space="0" w:color="auto"/>
      </w:divBdr>
    </w:div>
    <w:div w:id="1944258931">
      <w:bodyDiv w:val="1"/>
      <w:marLeft w:val="0"/>
      <w:marRight w:val="0"/>
      <w:marTop w:val="0"/>
      <w:marBottom w:val="0"/>
      <w:divBdr>
        <w:top w:val="none" w:sz="0" w:space="0" w:color="auto"/>
        <w:left w:val="none" w:sz="0" w:space="0" w:color="auto"/>
        <w:bottom w:val="none" w:sz="0" w:space="0" w:color="auto"/>
        <w:right w:val="none" w:sz="0" w:space="0" w:color="auto"/>
      </w:divBdr>
    </w:div>
    <w:div w:id="2031027911">
      <w:bodyDiv w:val="1"/>
      <w:marLeft w:val="0"/>
      <w:marRight w:val="0"/>
      <w:marTop w:val="0"/>
      <w:marBottom w:val="0"/>
      <w:divBdr>
        <w:top w:val="none" w:sz="0" w:space="0" w:color="auto"/>
        <w:left w:val="none" w:sz="0" w:space="0" w:color="auto"/>
        <w:bottom w:val="none" w:sz="0" w:space="0" w:color="auto"/>
        <w:right w:val="none" w:sz="0" w:space="0" w:color="auto"/>
      </w:divBdr>
    </w:div>
    <w:div w:id="2042246359">
      <w:bodyDiv w:val="1"/>
      <w:marLeft w:val="0"/>
      <w:marRight w:val="0"/>
      <w:marTop w:val="0"/>
      <w:marBottom w:val="0"/>
      <w:divBdr>
        <w:top w:val="none" w:sz="0" w:space="0" w:color="auto"/>
        <w:left w:val="none" w:sz="0" w:space="0" w:color="auto"/>
        <w:bottom w:val="none" w:sz="0" w:space="0" w:color="auto"/>
        <w:right w:val="none" w:sz="0" w:space="0" w:color="auto"/>
      </w:divBdr>
    </w:div>
    <w:div w:id="2050493983">
      <w:bodyDiv w:val="1"/>
      <w:marLeft w:val="0"/>
      <w:marRight w:val="0"/>
      <w:marTop w:val="0"/>
      <w:marBottom w:val="0"/>
      <w:divBdr>
        <w:top w:val="none" w:sz="0" w:space="0" w:color="auto"/>
        <w:left w:val="none" w:sz="0" w:space="0" w:color="auto"/>
        <w:bottom w:val="none" w:sz="0" w:space="0" w:color="auto"/>
        <w:right w:val="none" w:sz="0" w:space="0" w:color="auto"/>
      </w:divBdr>
    </w:div>
    <w:div w:id="2055998856">
      <w:bodyDiv w:val="1"/>
      <w:marLeft w:val="0"/>
      <w:marRight w:val="0"/>
      <w:marTop w:val="0"/>
      <w:marBottom w:val="0"/>
      <w:divBdr>
        <w:top w:val="none" w:sz="0" w:space="0" w:color="auto"/>
        <w:left w:val="none" w:sz="0" w:space="0" w:color="auto"/>
        <w:bottom w:val="none" w:sz="0" w:space="0" w:color="auto"/>
        <w:right w:val="none" w:sz="0" w:space="0" w:color="auto"/>
      </w:divBdr>
    </w:div>
    <w:div w:id="207161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AB68-E382-4852-B882-366A4137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13146</Words>
  <Characters>74937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BẢO HIỂM XÃ HỘI VIỆT NAM</vt:lpstr>
    </vt:vector>
  </TitlesOfParts>
  <Company>BHXHVN</Company>
  <LinksUpToDate>false</LinksUpToDate>
  <CharactersWithSpaces>87908</CharactersWithSpaces>
  <SharedDoc>false</SharedDoc>
  <HLinks>
    <vt:vector size="6" baseType="variant">
      <vt:variant>
        <vt:i4>2949166</vt:i4>
      </vt:variant>
      <vt:variant>
        <vt:i4>0</vt:i4>
      </vt:variant>
      <vt:variant>
        <vt:i4>0</vt:i4>
      </vt:variant>
      <vt:variant>
        <vt:i4>5</vt:i4>
      </vt:variant>
      <vt:variant>
        <vt:lpwstr>http://vietlaw.gov.vn/LAWNET/docView.do?docid=24256&amp;type=html&amp;searchType=fulltextsearch&amp;searchText=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HIỂM XÃ HỘI VIỆT NAM</dc:title>
  <dc:creator>hha</dc:creator>
  <cp:lastModifiedBy>AutoBVT</cp:lastModifiedBy>
  <cp:revision>2</cp:revision>
  <cp:lastPrinted>2020-04-21T07:14:00Z</cp:lastPrinted>
  <dcterms:created xsi:type="dcterms:W3CDTF">2021-04-27T03:20:00Z</dcterms:created>
  <dcterms:modified xsi:type="dcterms:W3CDTF">2021-04-27T03:20:00Z</dcterms:modified>
</cp:coreProperties>
</file>